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AB" w:rsidRDefault="005D4CB0">
      <w:pPr>
        <w:pStyle w:val="Zkladntext"/>
        <w:ind w:left="100"/>
        <w:rPr>
          <w:sz w:val="20"/>
        </w:rPr>
      </w:pPr>
      <w:r>
        <w:rPr>
          <w:sz w:val="20"/>
        </w:rPr>
      </w:r>
      <w:r>
        <w:rPr>
          <w:sz w:val="20"/>
        </w:rPr>
        <w:pict>
          <v:group id="_x0000_s1135" style="width:444.2pt;height:283.75pt;mso-position-horizontal-relative:char;mso-position-vertical-relative:line" coordsize="8884,5675">
            <v:line id="_x0000_s1144" style="position:absolute" from="10,5" to="8874,5" strokeweight=".48pt"/>
            <v:line id="_x0000_s1143" style="position:absolute" from="8879,0" to="8879,5369" strokeweight=".48pt"/>
            <v:line id="_x0000_s1142" style="position:absolute" from="10,5669" to="8874,5669" strokeweight=".48pt"/>
            <v:line id="_x0000_s1141" style="position:absolute" from="5,0" to="5,5674" strokeweight=".48pt"/>
            <v:line id="_x0000_s1140" style="position:absolute" from="8879,5369" to="8879,5674" strokeweight=".48pt"/>
            <v:shapetype id="_x0000_t202" coordsize="21600,21600" o:spt="202" path="m,l,21600r21600,l21600,xe">
              <v:stroke joinstyle="miter"/>
              <v:path gradientshapeok="t" o:connecttype="rect"/>
            </v:shapetype>
            <v:shape id="_x0000_s1139" type="#_x0000_t202" style="position:absolute;left:117;top:1514;width:8577;height:4131" filled="f" stroked="f">
              <v:textbox inset="0,0,0,0">
                <w:txbxContent>
                  <w:p w:rsidR="009F62AB" w:rsidRDefault="004C2FE8">
                    <w:pPr>
                      <w:spacing w:before="1"/>
                      <w:rPr>
                        <w:b/>
                        <w:sz w:val="24"/>
                      </w:rPr>
                    </w:pPr>
                    <w:r w:rsidRPr="004C2FE8">
                      <w:rPr>
                        <w:b/>
                        <w:sz w:val="24"/>
                      </w:rPr>
                      <w:t xml:space="preserve">1.2. Příslušná určená použití látky nebo směsi a nedoporučená použití </w:t>
                    </w:r>
                    <w:r w:rsidRPr="004C2FE8">
                      <w:rPr>
                        <w:sz w:val="24"/>
                      </w:rPr>
                      <w:t>Produkt se používá k výrobě zubních protéz v zubní laboratoři. Pouze pro profesionální použití.</w:t>
                    </w:r>
                  </w:p>
                  <w:p w:rsidR="004C2FE8" w:rsidRDefault="004C2FE8">
                    <w:pPr>
                      <w:spacing w:before="1"/>
                      <w:rPr>
                        <w:sz w:val="23"/>
                      </w:rPr>
                    </w:pPr>
                  </w:p>
                  <w:p w:rsidR="009F62AB" w:rsidRDefault="004C2FE8" w:rsidP="004C2FE8">
                    <w:pPr>
                      <w:tabs>
                        <w:tab w:val="left" w:pos="360"/>
                      </w:tabs>
                      <w:rPr>
                        <w:b/>
                        <w:sz w:val="24"/>
                      </w:rPr>
                    </w:pPr>
                    <w:r w:rsidRPr="004C2FE8">
                      <w:rPr>
                        <w:b/>
                        <w:sz w:val="24"/>
                      </w:rPr>
                      <w:t>1.3 Podrobné údaje o dodavateli bezpečnostního listu</w:t>
                    </w:r>
                  </w:p>
                  <w:p w:rsidR="009F62AB" w:rsidRDefault="004C2FE8">
                    <w:pPr>
                      <w:tabs>
                        <w:tab w:val="left" w:pos="3600"/>
                        <w:tab w:val="left" w:pos="5952"/>
                      </w:tabs>
                      <w:spacing w:before="1"/>
                      <w:ind w:right="662" w:firstLine="5940"/>
                      <w:rPr>
                        <w:sz w:val="24"/>
                      </w:rPr>
                    </w:pPr>
                    <w:r>
                      <w:rPr>
                        <w:i/>
                        <w:sz w:val="24"/>
                      </w:rPr>
                      <w:t>Výroba</w:t>
                    </w:r>
                    <w:r w:rsidR="0001483F">
                      <w:rPr>
                        <w:i/>
                        <w:sz w:val="24"/>
                      </w:rPr>
                      <w:t xml:space="preserve">: </w:t>
                    </w:r>
                    <w:r w:rsidR="00FA33FF" w:rsidRPr="00FA33FF">
                      <w:rPr>
                        <w:sz w:val="24"/>
                      </w:rPr>
                      <w:t>Výrobce/dodavatel</w:t>
                    </w:r>
                    <w:r w:rsidR="0001483F">
                      <w:rPr>
                        <w:sz w:val="24"/>
                      </w:rPr>
                      <w:t>:</w:t>
                    </w:r>
                    <w:r w:rsidR="0001483F">
                      <w:rPr>
                        <w:sz w:val="24"/>
                      </w:rPr>
                      <w:tab/>
                    </w:r>
                    <w:proofErr w:type="gramStart"/>
                    <w:r w:rsidR="0001483F">
                      <w:rPr>
                        <w:sz w:val="24"/>
                      </w:rPr>
                      <w:t>INTERDENT</w:t>
                    </w:r>
                    <w:r w:rsidR="0001483F">
                      <w:rPr>
                        <w:spacing w:val="-1"/>
                        <w:sz w:val="24"/>
                      </w:rPr>
                      <w:t xml:space="preserve"> </w:t>
                    </w:r>
                    <w:proofErr w:type="spellStart"/>
                    <w:r w:rsidR="0001483F">
                      <w:rPr>
                        <w:sz w:val="24"/>
                      </w:rPr>
                      <w:t>d.o.</w:t>
                    </w:r>
                    <w:proofErr w:type="gramEnd"/>
                    <w:r w:rsidR="0001483F">
                      <w:rPr>
                        <w:sz w:val="24"/>
                      </w:rPr>
                      <w:t>o</w:t>
                    </w:r>
                    <w:proofErr w:type="spellEnd"/>
                    <w:r w:rsidR="0001483F">
                      <w:rPr>
                        <w:sz w:val="24"/>
                      </w:rPr>
                      <w:t>.</w:t>
                    </w:r>
                    <w:r w:rsidR="0001483F">
                      <w:rPr>
                        <w:sz w:val="24"/>
                      </w:rPr>
                      <w:tab/>
                      <w:t xml:space="preserve">INTERDENT </w:t>
                    </w:r>
                    <w:proofErr w:type="spellStart"/>
                    <w:r w:rsidR="0001483F">
                      <w:rPr>
                        <w:spacing w:val="-3"/>
                        <w:sz w:val="24"/>
                      </w:rPr>
                      <w:t>d.o.o</w:t>
                    </w:r>
                    <w:proofErr w:type="spellEnd"/>
                    <w:r w:rsidR="0001483F">
                      <w:rPr>
                        <w:spacing w:val="-3"/>
                        <w:sz w:val="24"/>
                      </w:rPr>
                      <w:t xml:space="preserve">. </w:t>
                    </w:r>
                    <w:r w:rsidR="00FA33FF">
                      <w:rPr>
                        <w:sz w:val="24"/>
                      </w:rPr>
                      <w:t>Ulice</w:t>
                    </w:r>
                    <w:r w:rsidR="0001483F">
                      <w:rPr>
                        <w:sz w:val="24"/>
                      </w:rPr>
                      <w:t>:</w:t>
                    </w:r>
                    <w:r w:rsidR="0001483F">
                      <w:rPr>
                        <w:sz w:val="24"/>
                      </w:rPr>
                      <w:tab/>
                    </w:r>
                    <w:proofErr w:type="spellStart"/>
                    <w:r w:rsidR="0001483F">
                      <w:rPr>
                        <w:sz w:val="24"/>
                      </w:rPr>
                      <w:t>Opekarniška</w:t>
                    </w:r>
                    <w:proofErr w:type="spellEnd"/>
                    <w:r w:rsidR="0001483F">
                      <w:rPr>
                        <w:sz w:val="24"/>
                      </w:rPr>
                      <w:t xml:space="preserve"> cesta</w:t>
                    </w:r>
                    <w:r w:rsidR="0001483F">
                      <w:rPr>
                        <w:spacing w:val="-3"/>
                        <w:sz w:val="24"/>
                      </w:rPr>
                      <w:t xml:space="preserve"> </w:t>
                    </w:r>
                    <w:r w:rsidR="0001483F">
                      <w:rPr>
                        <w:sz w:val="24"/>
                      </w:rPr>
                      <w:t>26</w:t>
                    </w:r>
                    <w:r w:rsidR="0001483F">
                      <w:rPr>
                        <w:sz w:val="24"/>
                      </w:rPr>
                      <w:tab/>
                    </w:r>
                    <w:proofErr w:type="spellStart"/>
                    <w:r w:rsidR="0001483F">
                      <w:rPr>
                        <w:sz w:val="24"/>
                      </w:rPr>
                      <w:t>Dol</w:t>
                    </w:r>
                    <w:proofErr w:type="spellEnd"/>
                    <w:r w:rsidR="0001483F">
                      <w:rPr>
                        <w:sz w:val="24"/>
                      </w:rPr>
                      <w:t xml:space="preserve"> 1</w:t>
                    </w:r>
                  </w:p>
                  <w:p w:rsidR="009F62AB" w:rsidRDefault="00FA33FF">
                    <w:pPr>
                      <w:tabs>
                        <w:tab w:val="left" w:pos="3600"/>
                        <w:tab w:val="left" w:pos="5960"/>
                      </w:tabs>
                      <w:ind w:right="616"/>
                      <w:rPr>
                        <w:sz w:val="24"/>
                      </w:rPr>
                    </w:pPr>
                    <w:r w:rsidRPr="00FA33FF">
                      <w:rPr>
                        <w:sz w:val="24"/>
                      </w:rPr>
                      <w:t>Kód země / PSČ / město</w:t>
                    </w:r>
                    <w:r w:rsidR="0001483F">
                      <w:rPr>
                        <w:sz w:val="24"/>
                      </w:rPr>
                      <w:t>:</w:t>
                    </w:r>
                    <w:r w:rsidR="0001483F">
                      <w:rPr>
                        <w:sz w:val="24"/>
                      </w:rPr>
                      <w:tab/>
                      <w:t>SI-3000</w:t>
                    </w:r>
                    <w:r w:rsidR="0001483F">
                      <w:rPr>
                        <w:spacing w:val="-2"/>
                        <w:sz w:val="24"/>
                      </w:rPr>
                      <w:t xml:space="preserve"> </w:t>
                    </w:r>
                    <w:proofErr w:type="spellStart"/>
                    <w:r w:rsidR="0001483F">
                      <w:rPr>
                        <w:sz w:val="24"/>
                      </w:rPr>
                      <w:t>Celje</w:t>
                    </w:r>
                    <w:proofErr w:type="spellEnd"/>
                    <w:r w:rsidR="0001483F">
                      <w:rPr>
                        <w:sz w:val="24"/>
                      </w:rPr>
                      <w:tab/>
                      <w:t xml:space="preserve">SI-3342 </w:t>
                    </w:r>
                    <w:proofErr w:type="spellStart"/>
                    <w:r w:rsidR="0001483F">
                      <w:rPr>
                        <w:sz w:val="24"/>
                      </w:rPr>
                      <w:t>Gornji</w:t>
                    </w:r>
                    <w:proofErr w:type="spellEnd"/>
                    <w:r w:rsidR="0001483F">
                      <w:rPr>
                        <w:sz w:val="24"/>
                      </w:rPr>
                      <w:t xml:space="preserve"> </w:t>
                    </w:r>
                    <w:r w:rsidR="0001483F">
                      <w:rPr>
                        <w:spacing w:val="-5"/>
                        <w:sz w:val="24"/>
                      </w:rPr>
                      <w:t xml:space="preserve">Grad </w:t>
                    </w:r>
                    <w:r>
                      <w:rPr>
                        <w:sz w:val="24"/>
                      </w:rPr>
                      <w:t>Telefon</w:t>
                    </w:r>
                    <w:r w:rsidR="0001483F">
                      <w:rPr>
                        <w:sz w:val="24"/>
                      </w:rPr>
                      <w:t>:</w:t>
                    </w:r>
                    <w:r w:rsidR="0001483F">
                      <w:rPr>
                        <w:sz w:val="24"/>
                      </w:rPr>
                      <w:tab/>
                      <w:t>+386(0) 425-62-00</w:t>
                    </w:r>
                  </w:p>
                  <w:p w:rsidR="009F62AB" w:rsidRDefault="0001483F">
                    <w:pPr>
                      <w:tabs>
                        <w:tab w:val="left" w:pos="3607"/>
                      </w:tabs>
                      <w:rPr>
                        <w:sz w:val="24"/>
                      </w:rPr>
                    </w:pPr>
                    <w:r>
                      <w:rPr>
                        <w:sz w:val="24"/>
                      </w:rPr>
                      <w:t>Fax:</w:t>
                    </w:r>
                    <w:r>
                      <w:rPr>
                        <w:sz w:val="24"/>
                      </w:rPr>
                      <w:tab/>
                      <w:t>+368(0)</w:t>
                    </w:r>
                    <w:r>
                      <w:rPr>
                        <w:spacing w:val="-2"/>
                        <w:sz w:val="24"/>
                      </w:rPr>
                      <w:t xml:space="preserve"> </w:t>
                    </w:r>
                    <w:r>
                      <w:rPr>
                        <w:sz w:val="24"/>
                      </w:rPr>
                      <w:t>490-62-02</w:t>
                    </w:r>
                  </w:p>
                  <w:p w:rsidR="009F62AB" w:rsidRDefault="009F62AB">
                    <w:pPr>
                      <w:rPr>
                        <w:sz w:val="24"/>
                      </w:rPr>
                    </w:pPr>
                  </w:p>
                  <w:p w:rsidR="004C2FE8" w:rsidRPr="004C2FE8" w:rsidRDefault="004C2FE8" w:rsidP="004C2FE8">
                    <w:pPr>
                      <w:pStyle w:val="Odstavecseseznamem"/>
                      <w:numPr>
                        <w:ilvl w:val="1"/>
                        <w:numId w:val="11"/>
                      </w:numPr>
                      <w:tabs>
                        <w:tab w:val="left" w:pos="3600"/>
                      </w:tabs>
                      <w:rPr>
                        <w:b/>
                        <w:sz w:val="24"/>
                      </w:rPr>
                    </w:pPr>
                    <w:r w:rsidRPr="004C2FE8">
                      <w:rPr>
                        <w:b/>
                        <w:sz w:val="24"/>
                      </w:rPr>
                      <w:t>Nouzové telefonní číslo</w:t>
                    </w:r>
                  </w:p>
                  <w:p w:rsidR="009F62AB" w:rsidRPr="004C2FE8" w:rsidRDefault="004C2FE8" w:rsidP="004C2FE8">
                    <w:pPr>
                      <w:pStyle w:val="Odstavecseseznamem"/>
                      <w:numPr>
                        <w:ilvl w:val="1"/>
                        <w:numId w:val="11"/>
                      </w:numPr>
                      <w:tabs>
                        <w:tab w:val="left" w:pos="3600"/>
                      </w:tabs>
                      <w:rPr>
                        <w:sz w:val="24"/>
                      </w:rPr>
                    </w:pPr>
                    <w:r w:rsidRPr="004C2FE8">
                      <w:rPr>
                        <w:sz w:val="24"/>
                      </w:rPr>
                      <w:t xml:space="preserve"> </w:t>
                    </w:r>
                    <w:r w:rsidRPr="00FA33FF">
                      <w:rPr>
                        <w:b/>
                        <w:sz w:val="24"/>
                      </w:rPr>
                      <w:t>Nouzový telefon</w:t>
                    </w:r>
                    <w:r w:rsidR="0001483F" w:rsidRPr="00FA33FF">
                      <w:rPr>
                        <w:b/>
                        <w:sz w:val="24"/>
                      </w:rPr>
                      <w:t>:</w:t>
                    </w:r>
                    <w:r w:rsidR="0001483F" w:rsidRPr="004C2FE8">
                      <w:rPr>
                        <w:sz w:val="24"/>
                      </w:rPr>
                      <w:tab/>
                      <w:t>112 (EU)</w:t>
                    </w:r>
                  </w:p>
                  <w:p w:rsidR="009F62AB" w:rsidRDefault="0001483F">
                    <w:pPr>
                      <w:ind w:left="3600"/>
                      <w:rPr>
                        <w:sz w:val="24"/>
                      </w:rPr>
                    </w:pPr>
                    <w:r>
                      <w:rPr>
                        <w:sz w:val="24"/>
                      </w:rPr>
                      <w:t xml:space="preserve">+386(0) 425-62-00 (Mon. – </w:t>
                    </w:r>
                    <w:proofErr w:type="spellStart"/>
                    <w:r>
                      <w:rPr>
                        <w:sz w:val="24"/>
                      </w:rPr>
                      <w:t>Fri</w:t>
                    </w:r>
                    <w:proofErr w:type="spellEnd"/>
                    <w:r>
                      <w:rPr>
                        <w:sz w:val="24"/>
                      </w:rPr>
                      <w:t>.: 8.00 – 16.00)</w:t>
                    </w:r>
                  </w:p>
                </w:txbxContent>
              </v:textbox>
            </v:shape>
            <v:shape id="_x0000_s1138" type="#_x0000_t202" style="position:absolute;left:3718;top:962;width:3243;height:266" filled="f" stroked="f">
              <v:textbox inset="0,0,0,0">
                <w:txbxContent>
                  <w:p w:rsidR="009F62AB" w:rsidRDefault="004C2FE8">
                    <w:pPr>
                      <w:spacing w:line="266" w:lineRule="exact"/>
                      <w:rPr>
                        <w:b/>
                        <w:sz w:val="24"/>
                      </w:rPr>
                    </w:pPr>
                    <w:r>
                      <w:rPr>
                        <w:b/>
                        <w:sz w:val="24"/>
                      </w:rPr>
                      <w:t>INTERACRYL HOT – prášek</w:t>
                    </w:r>
                  </w:p>
                </w:txbxContent>
              </v:textbox>
            </v:shape>
            <v:shape id="_x0000_s1137" type="#_x0000_t202" style="position:absolute;left:117;top:962;width:2212;height:266" filled="f" stroked="f">
              <v:textbox inset="0,0,0,0">
                <w:txbxContent>
                  <w:p w:rsidR="009F62AB" w:rsidRPr="004C2FE8" w:rsidRDefault="0001483F">
                    <w:pPr>
                      <w:spacing w:line="266" w:lineRule="exact"/>
                      <w:rPr>
                        <w:b/>
                        <w:sz w:val="20"/>
                        <w:szCs w:val="20"/>
                      </w:rPr>
                    </w:pPr>
                    <w:r w:rsidRPr="004C2FE8">
                      <w:rPr>
                        <w:b/>
                        <w:sz w:val="20"/>
                        <w:szCs w:val="20"/>
                      </w:rPr>
                      <w:t xml:space="preserve">1.1 </w:t>
                    </w:r>
                    <w:proofErr w:type="spellStart"/>
                    <w:r w:rsidR="004C2FE8" w:rsidRPr="004C2FE8">
                      <w:rPr>
                        <w:b/>
                        <w:sz w:val="20"/>
                        <w:szCs w:val="20"/>
                      </w:rPr>
                      <w:t>Idetifikátor</w:t>
                    </w:r>
                    <w:proofErr w:type="spellEnd"/>
                    <w:r w:rsidR="004C2FE8" w:rsidRPr="004C2FE8">
                      <w:rPr>
                        <w:b/>
                        <w:sz w:val="20"/>
                        <w:szCs w:val="20"/>
                      </w:rPr>
                      <w:t xml:space="preserve"> produktu</w:t>
                    </w:r>
                  </w:p>
                </w:txbxContent>
              </v:textbox>
            </v:shape>
            <v:shape id="_x0000_s1136" type="#_x0000_t202" style="position:absolute;left:117;top:37;width:7049;height:605" filled="f" stroked="f">
              <v:textbox inset="0,0,0,0">
                <w:txbxContent>
                  <w:p w:rsidR="009F62AB" w:rsidRPr="004C2FE8" w:rsidRDefault="004C2FE8">
                    <w:pPr>
                      <w:spacing w:before="60"/>
                      <w:rPr>
                        <w:rFonts w:ascii="Arial" w:hAnsi="Arial" w:cs="Arial"/>
                        <w:b/>
                        <w:i/>
                        <w:sz w:val="24"/>
                      </w:rPr>
                    </w:pPr>
                    <w:r w:rsidRPr="004C2FE8">
                      <w:rPr>
                        <w:rFonts w:ascii="Arial" w:hAnsi="Arial" w:cs="Arial"/>
                        <w:b/>
                        <w:i/>
                        <w:sz w:val="24"/>
                      </w:rPr>
                      <w:t>ODDÍL 1: Identifikace látky/směsi a společnosti/podniku</w:t>
                    </w:r>
                  </w:p>
                </w:txbxContent>
              </v:textbox>
            </v:shape>
            <w10:anchorlock/>
          </v:group>
        </w:pict>
      </w:r>
    </w:p>
    <w:p w:rsidR="009F62AB" w:rsidRDefault="009F62AB">
      <w:pPr>
        <w:pStyle w:val="Zkladntext"/>
        <w:rPr>
          <w:sz w:val="20"/>
        </w:rPr>
      </w:pPr>
    </w:p>
    <w:p w:rsidR="009F62AB" w:rsidRDefault="009F62AB">
      <w:pPr>
        <w:pStyle w:val="Zkladntext"/>
        <w:rPr>
          <w:sz w:val="20"/>
        </w:rPr>
      </w:pPr>
    </w:p>
    <w:p w:rsidR="009F62AB" w:rsidRDefault="005D4CB0">
      <w:pPr>
        <w:pStyle w:val="Zkladntext"/>
        <w:spacing w:before="9"/>
      </w:pPr>
      <w:r>
        <w:pict>
          <v:shape id="_x0000_s1134" type="#_x0000_t202" style="position:absolute;margin-left:84.25pt;margin-top:16.5pt;width:443.75pt;height:239.1pt;z-index:-251653120;mso-wrap-distance-left:0;mso-wrap-distance-right:0;mso-position-horizontal-relative:page" filled="f" strokeweight=".48pt">
            <v:textbox inset="0,0,0,0">
              <w:txbxContent>
                <w:p w:rsidR="00FA33FF" w:rsidRPr="00FA33FF" w:rsidRDefault="00FA33FF" w:rsidP="00FA33FF">
                  <w:pPr>
                    <w:pStyle w:val="Zkladntext"/>
                    <w:spacing w:before="1"/>
                    <w:ind w:left="108" w:right="113"/>
                    <w:rPr>
                      <w:rFonts w:ascii="Arial" w:hAnsi="Arial" w:cs="Arial"/>
                      <w:b/>
                      <w:i/>
                      <w:szCs w:val="22"/>
                    </w:rPr>
                  </w:pPr>
                  <w:r w:rsidRPr="00FA33FF">
                    <w:rPr>
                      <w:rFonts w:ascii="Arial" w:hAnsi="Arial" w:cs="Arial"/>
                      <w:b/>
                      <w:i/>
                      <w:szCs w:val="22"/>
                    </w:rPr>
                    <w:t>ODDÍL 2: Identifikace nebezpečnosti</w:t>
                  </w:r>
                </w:p>
                <w:p w:rsidR="00FA33FF" w:rsidRPr="00FA33FF" w:rsidRDefault="00FA33FF" w:rsidP="00FA33FF">
                  <w:pPr>
                    <w:pStyle w:val="Zkladntext"/>
                    <w:spacing w:before="1"/>
                    <w:ind w:left="108" w:right="113"/>
                    <w:rPr>
                      <w:rFonts w:ascii="Arial" w:hAnsi="Arial" w:cs="Arial"/>
                      <w:b/>
                      <w:i/>
                      <w:szCs w:val="22"/>
                    </w:rPr>
                  </w:pPr>
                  <w:r w:rsidRPr="00FA33FF">
                    <w:rPr>
                      <w:rFonts w:ascii="Arial" w:hAnsi="Arial" w:cs="Arial"/>
                      <w:b/>
                      <w:i/>
                      <w:szCs w:val="22"/>
                    </w:rPr>
                    <w:t>2.1 Klasifikace látky nebo směsi</w:t>
                  </w:r>
                </w:p>
                <w:p w:rsidR="00FA33FF" w:rsidRPr="00FA33FF" w:rsidRDefault="00FA33FF" w:rsidP="00FA33FF">
                  <w:pPr>
                    <w:pStyle w:val="Zkladntext"/>
                    <w:spacing w:before="1"/>
                    <w:ind w:left="108" w:right="113"/>
                    <w:rPr>
                      <w:szCs w:val="22"/>
                    </w:rPr>
                  </w:pPr>
                  <w:r w:rsidRPr="00FA33FF">
                    <w:rPr>
                      <w:szCs w:val="22"/>
                    </w:rPr>
                    <w:t>Není klasifikováno jako nebezpečné podle nařízení (ES) č. 1272/2008</w:t>
                  </w:r>
                </w:p>
                <w:p w:rsidR="00FA33FF" w:rsidRPr="00FA33FF" w:rsidRDefault="00FA33FF" w:rsidP="00FA33FF">
                  <w:pPr>
                    <w:pStyle w:val="Zkladntext"/>
                    <w:spacing w:before="1"/>
                    <w:ind w:left="108" w:right="113"/>
                    <w:rPr>
                      <w:rFonts w:ascii="Arial"/>
                      <w:b/>
                      <w:i/>
                      <w:szCs w:val="22"/>
                    </w:rPr>
                  </w:pPr>
                </w:p>
                <w:p w:rsidR="00FA33FF" w:rsidRPr="00FA33FF" w:rsidRDefault="00FA33FF" w:rsidP="00FA33FF">
                  <w:pPr>
                    <w:pStyle w:val="Zkladntext"/>
                    <w:spacing w:before="1"/>
                    <w:ind w:left="108" w:right="113"/>
                    <w:rPr>
                      <w:rFonts w:ascii="Arial" w:hAnsi="Arial" w:cs="Arial"/>
                      <w:b/>
                      <w:i/>
                      <w:szCs w:val="22"/>
                    </w:rPr>
                  </w:pPr>
                  <w:r w:rsidRPr="00FA33FF">
                    <w:rPr>
                      <w:rFonts w:ascii="Arial" w:hAnsi="Arial" w:cs="Arial"/>
                      <w:b/>
                      <w:i/>
                      <w:szCs w:val="22"/>
                    </w:rPr>
                    <w:t>2.2 Prvky štítku</w:t>
                  </w:r>
                </w:p>
                <w:p w:rsidR="00FA33FF" w:rsidRPr="00FA33FF" w:rsidRDefault="00FA33FF" w:rsidP="00FA33FF">
                  <w:pPr>
                    <w:pStyle w:val="Zkladntext"/>
                    <w:spacing w:before="1"/>
                    <w:ind w:left="108" w:right="113"/>
                    <w:rPr>
                      <w:szCs w:val="22"/>
                    </w:rPr>
                  </w:pPr>
                  <w:r w:rsidRPr="00FA33FF">
                    <w:rPr>
                      <w:szCs w:val="22"/>
                    </w:rPr>
                    <w:t>Není označeno podle nařízení (ES) č. 1272/2008</w:t>
                  </w:r>
                </w:p>
                <w:p w:rsidR="00FA33FF" w:rsidRPr="00FA33FF" w:rsidRDefault="00FA33FF" w:rsidP="00FA33FF">
                  <w:pPr>
                    <w:pStyle w:val="Zkladntext"/>
                    <w:spacing w:before="1"/>
                    <w:ind w:left="108" w:right="113"/>
                    <w:rPr>
                      <w:rFonts w:ascii="Arial" w:hAnsi="Arial" w:cs="Arial"/>
                      <w:b/>
                      <w:i/>
                      <w:szCs w:val="22"/>
                    </w:rPr>
                  </w:pPr>
                </w:p>
                <w:p w:rsidR="00FA33FF" w:rsidRPr="00FA33FF" w:rsidRDefault="00FA33FF" w:rsidP="00FA33FF">
                  <w:pPr>
                    <w:pStyle w:val="Zkladntext"/>
                    <w:spacing w:before="1"/>
                    <w:ind w:left="108" w:right="113"/>
                    <w:rPr>
                      <w:rFonts w:ascii="Arial" w:hAnsi="Arial" w:cs="Arial"/>
                      <w:b/>
                      <w:i/>
                      <w:szCs w:val="22"/>
                    </w:rPr>
                  </w:pPr>
                  <w:r w:rsidRPr="00FA33FF">
                    <w:rPr>
                      <w:rFonts w:ascii="Arial" w:hAnsi="Arial" w:cs="Arial"/>
                      <w:b/>
                      <w:i/>
                      <w:szCs w:val="22"/>
                    </w:rPr>
                    <w:t>2.3 Jiná nebezpečí</w:t>
                  </w:r>
                </w:p>
                <w:p w:rsidR="00FA33FF" w:rsidRPr="00FA33FF" w:rsidRDefault="00FA33FF" w:rsidP="00FA33FF">
                  <w:pPr>
                    <w:pStyle w:val="Zkladntext"/>
                    <w:spacing w:before="1"/>
                    <w:ind w:left="108" w:right="113"/>
                    <w:rPr>
                      <w:szCs w:val="22"/>
                    </w:rPr>
                  </w:pPr>
                  <w:proofErr w:type="spellStart"/>
                  <w:r w:rsidRPr="00FA33FF">
                    <w:rPr>
                      <w:szCs w:val="22"/>
                    </w:rPr>
                    <w:t>Methylmethakrylát</w:t>
                  </w:r>
                  <w:proofErr w:type="spellEnd"/>
                  <w:r w:rsidRPr="00FA33FF">
                    <w:rPr>
                      <w:szCs w:val="22"/>
                    </w:rPr>
                    <w:t xml:space="preserve"> se vstřebává do těla vdechováním a spolknutím prášku. Žádná ze složek tohoto produktu není uvedena IARC, NTP, OSHA nebo ACIGH jako karcinogen.</w:t>
                  </w:r>
                </w:p>
                <w:p w:rsidR="009F62AB" w:rsidRPr="00FA33FF" w:rsidRDefault="00FA33FF" w:rsidP="00FA33FF">
                  <w:pPr>
                    <w:pStyle w:val="Zkladntext"/>
                    <w:spacing w:before="1"/>
                    <w:ind w:left="108" w:right="113"/>
                  </w:pPr>
                  <w:r w:rsidRPr="00FA33FF">
                    <w:rPr>
                      <w:szCs w:val="22"/>
                    </w:rPr>
                    <w:t xml:space="preserve">Krátkodobé účinky: Žádná ze složek není nebezpečná pro zdraví nebo životní prostředí. Zabraňte tvorbě prachu z důvodu mechanického dráždění očí a dýchacího systému Není klasifikováno jako PBT nebo </w:t>
                  </w:r>
                  <w:proofErr w:type="spellStart"/>
                  <w:r w:rsidRPr="00FA33FF">
                    <w:rPr>
                      <w:szCs w:val="22"/>
                    </w:rPr>
                    <w:t>vPvB</w:t>
                  </w:r>
                  <w:proofErr w:type="spellEnd"/>
                  <w:r w:rsidRPr="00FA33FF">
                    <w:rPr>
                      <w:szCs w:val="22"/>
                    </w:rPr>
                    <w:t>. Hořlavý, ale nesnadno se vznítí. Ve vzduchu může tvořit oblaka prachu z výbuchu. Za normálních podmínek manipulace a použití je málo toxický. Dlouhodobé účinky, opakovaná expozice: Opakovaná a dlouhodobá nadměrná expozice může způsobit trvalé alergické kožní vyrážky.</w:t>
                  </w:r>
                </w:p>
              </w:txbxContent>
            </v:textbox>
            <w10:wrap type="topAndBottom" anchorx="page"/>
          </v:shape>
        </w:pict>
      </w:r>
    </w:p>
    <w:p w:rsidR="009F62AB" w:rsidRDefault="009F62AB">
      <w:pPr>
        <w:sectPr w:rsidR="009F62AB">
          <w:headerReference w:type="even" r:id="rId7"/>
          <w:headerReference w:type="default" r:id="rId8"/>
          <w:footerReference w:type="even" r:id="rId9"/>
          <w:footerReference w:type="default" r:id="rId10"/>
          <w:headerReference w:type="first" r:id="rId11"/>
          <w:footerReference w:type="first" r:id="rId12"/>
          <w:type w:val="continuous"/>
          <w:pgSz w:w="12250" w:h="15850"/>
          <w:pgMar w:top="2120" w:right="1560" w:bottom="1140" w:left="1580" w:header="738" w:footer="957" w:gutter="0"/>
          <w:pgNumType w:start="1"/>
          <w:cols w:space="708"/>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1436"/>
        <w:gridCol w:w="1844"/>
        <w:gridCol w:w="1800"/>
        <w:gridCol w:w="1803"/>
      </w:tblGrid>
      <w:tr w:rsidR="009F62AB">
        <w:trPr>
          <w:trHeight w:val="2581"/>
        </w:trPr>
        <w:tc>
          <w:tcPr>
            <w:tcW w:w="8870" w:type="dxa"/>
            <w:gridSpan w:val="5"/>
            <w:tcBorders>
              <w:bottom w:val="single" w:sz="8" w:space="0" w:color="000000"/>
            </w:tcBorders>
          </w:tcPr>
          <w:p w:rsidR="009F62AB" w:rsidRPr="00FA33FF" w:rsidRDefault="0001483F">
            <w:pPr>
              <w:pStyle w:val="TableParagraph"/>
              <w:spacing w:before="19"/>
              <w:ind w:left="110"/>
              <w:rPr>
                <w:rFonts w:ascii="Arial" w:hAnsi="Arial" w:cs="Arial"/>
                <w:b/>
                <w:i/>
                <w:sz w:val="24"/>
              </w:rPr>
            </w:pPr>
            <w:r w:rsidRPr="00FA33FF">
              <w:rPr>
                <w:rFonts w:ascii="Arial" w:hAnsi="Arial" w:cs="Arial"/>
                <w:b/>
                <w:i/>
                <w:sz w:val="24"/>
              </w:rPr>
              <w:t>ODDÍL 3: Složení / informace o složkách</w:t>
            </w:r>
          </w:p>
          <w:p w:rsidR="009F62AB" w:rsidRDefault="0001483F">
            <w:pPr>
              <w:pStyle w:val="TableParagraph"/>
              <w:numPr>
                <w:ilvl w:val="1"/>
                <w:numId w:val="9"/>
              </w:numPr>
              <w:tabs>
                <w:tab w:val="left" w:pos="471"/>
              </w:tabs>
              <w:spacing w:before="59"/>
              <w:ind w:hanging="361"/>
              <w:rPr>
                <w:b/>
                <w:sz w:val="24"/>
              </w:rPr>
            </w:pPr>
            <w:r>
              <w:rPr>
                <w:b/>
                <w:sz w:val="24"/>
              </w:rPr>
              <w:t>Látka</w:t>
            </w:r>
          </w:p>
          <w:p w:rsidR="009F62AB" w:rsidRDefault="0001483F">
            <w:pPr>
              <w:pStyle w:val="TableParagraph"/>
              <w:ind w:left="110"/>
              <w:rPr>
                <w:sz w:val="24"/>
              </w:rPr>
            </w:pPr>
            <w:r>
              <w:rPr>
                <w:sz w:val="24"/>
              </w:rPr>
              <w:t>Tento produkt je směs. Nesplňují kritéria pro zařazení do žádné třídy nebezpečnosti. Látky ve výrobku, které mohou představovat nebezpečí pro zdraví nebo životní prostředí nebo kterým byly přiděleny limity expozice na pracovišti, jsou podrobně popsány níže. Všimněte si, že koncentrace nebezpečného zboží ve směsi je příliš nízká na to, aby směsi poskytla některá z jejich specifických rizik. Viz část 3.2</w:t>
            </w:r>
          </w:p>
          <w:p w:rsidR="009F62AB" w:rsidRDefault="009F62AB">
            <w:pPr>
              <w:pStyle w:val="TableParagraph"/>
              <w:ind w:left="0"/>
              <w:rPr>
                <w:sz w:val="24"/>
              </w:rPr>
            </w:pPr>
          </w:p>
          <w:p w:rsidR="009F62AB" w:rsidRDefault="0001483F">
            <w:pPr>
              <w:pStyle w:val="TableParagraph"/>
              <w:numPr>
                <w:ilvl w:val="1"/>
                <w:numId w:val="9"/>
              </w:numPr>
              <w:tabs>
                <w:tab w:val="left" w:pos="471"/>
              </w:tabs>
              <w:spacing w:line="276" w:lineRule="exact"/>
              <w:ind w:hanging="361"/>
              <w:rPr>
                <w:b/>
                <w:sz w:val="24"/>
              </w:rPr>
            </w:pPr>
            <w:r>
              <w:rPr>
                <w:b/>
                <w:sz w:val="24"/>
              </w:rPr>
              <w:t>Směs</w:t>
            </w:r>
          </w:p>
        </w:tc>
      </w:tr>
      <w:tr w:rsidR="009F62AB">
        <w:trPr>
          <w:trHeight w:val="691"/>
        </w:trPr>
        <w:tc>
          <w:tcPr>
            <w:tcW w:w="1987" w:type="dxa"/>
            <w:tcBorders>
              <w:top w:val="single" w:sz="8" w:space="0" w:color="000000"/>
            </w:tcBorders>
          </w:tcPr>
          <w:p w:rsidR="009F62AB" w:rsidRDefault="009F62AB">
            <w:pPr>
              <w:pStyle w:val="TableParagraph"/>
              <w:spacing w:before="1"/>
              <w:ind w:left="0"/>
              <w:rPr>
                <w:sz w:val="20"/>
              </w:rPr>
            </w:pPr>
          </w:p>
          <w:p w:rsidR="009F62AB" w:rsidRDefault="0001483F">
            <w:pPr>
              <w:pStyle w:val="TableParagraph"/>
              <w:ind w:left="110"/>
              <w:rPr>
                <w:b/>
                <w:sz w:val="20"/>
              </w:rPr>
            </w:pPr>
            <w:r>
              <w:rPr>
                <w:b/>
                <w:sz w:val="20"/>
              </w:rPr>
              <w:t>Chemický název</w:t>
            </w:r>
          </w:p>
        </w:tc>
        <w:tc>
          <w:tcPr>
            <w:tcW w:w="1436" w:type="dxa"/>
            <w:tcBorders>
              <w:top w:val="single" w:sz="8" w:space="0" w:color="000000"/>
            </w:tcBorders>
          </w:tcPr>
          <w:p w:rsidR="009F62AB" w:rsidRDefault="0001483F">
            <w:pPr>
              <w:pStyle w:val="TableParagraph"/>
              <w:ind w:left="106" w:right="328"/>
              <w:rPr>
                <w:b/>
                <w:sz w:val="20"/>
              </w:rPr>
            </w:pPr>
            <w:r>
              <w:rPr>
                <w:b/>
                <w:sz w:val="20"/>
              </w:rPr>
              <w:t xml:space="preserve">CAS </w:t>
            </w:r>
            <w:proofErr w:type="spellStart"/>
            <w:r>
              <w:rPr>
                <w:b/>
                <w:sz w:val="20"/>
              </w:rPr>
              <w:t>Nr</w:t>
            </w:r>
            <w:proofErr w:type="spellEnd"/>
            <w:r>
              <w:rPr>
                <w:b/>
                <w:sz w:val="20"/>
              </w:rPr>
              <w:t xml:space="preserve">. EC </w:t>
            </w:r>
            <w:proofErr w:type="spellStart"/>
            <w:r>
              <w:rPr>
                <w:b/>
                <w:sz w:val="20"/>
              </w:rPr>
              <w:t>Nr</w:t>
            </w:r>
            <w:proofErr w:type="spellEnd"/>
            <w:r>
              <w:rPr>
                <w:b/>
                <w:sz w:val="20"/>
              </w:rPr>
              <w:t>.</w:t>
            </w:r>
          </w:p>
        </w:tc>
        <w:tc>
          <w:tcPr>
            <w:tcW w:w="1844" w:type="dxa"/>
            <w:tcBorders>
              <w:top w:val="single" w:sz="8" w:space="0" w:color="000000"/>
            </w:tcBorders>
          </w:tcPr>
          <w:p w:rsidR="009F62AB" w:rsidRDefault="009F62AB">
            <w:pPr>
              <w:pStyle w:val="TableParagraph"/>
              <w:spacing w:before="1"/>
              <w:ind w:left="0"/>
              <w:rPr>
                <w:sz w:val="20"/>
              </w:rPr>
            </w:pPr>
          </w:p>
          <w:p w:rsidR="009F62AB" w:rsidRDefault="0001483F">
            <w:pPr>
              <w:pStyle w:val="TableParagraph"/>
              <w:ind w:left="6"/>
              <w:jc w:val="center"/>
              <w:rPr>
                <w:b/>
                <w:sz w:val="20"/>
              </w:rPr>
            </w:pPr>
            <w:r>
              <w:rPr>
                <w:b/>
                <w:w w:val="99"/>
                <w:sz w:val="20"/>
              </w:rPr>
              <w:t>%</w:t>
            </w:r>
          </w:p>
        </w:tc>
        <w:tc>
          <w:tcPr>
            <w:tcW w:w="1800" w:type="dxa"/>
            <w:tcBorders>
              <w:top w:val="single" w:sz="8" w:space="0" w:color="000000"/>
            </w:tcBorders>
          </w:tcPr>
          <w:p w:rsidR="009F62AB" w:rsidRDefault="0001483F">
            <w:pPr>
              <w:pStyle w:val="TableParagraph"/>
              <w:ind w:left="529" w:right="142" w:hanging="368"/>
              <w:rPr>
                <w:b/>
                <w:sz w:val="20"/>
              </w:rPr>
            </w:pPr>
            <w:r>
              <w:rPr>
                <w:b/>
                <w:sz w:val="20"/>
              </w:rPr>
              <w:t>Třída a kategorie nebezpečnosti</w:t>
            </w:r>
          </w:p>
        </w:tc>
        <w:tc>
          <w:tcPr>
            <w:tcW w:w="1803" w:type="dxa"/>
            <w:tcBorders>
              <w:top w:val="single" w:sz="8" w:space="0" w:color="000000"/>
            </w:tcBorders>
          </w:tcPr>
          <w:p w:rsidR="009F62AB" w:rsidRDefault="0001483F">
            <w:pPr>
              <w:pStyle w:val="TableParagraph"/>
              <w:ind w:left="443" w:right="419" w:firstLine="132"/>
              <w:rPr>
                <w:b/>
                <w:sz w:val="20"/>
              </w:rPr>
            </w:pPr>
            <w:r>
              <w:rPr>
                <w:b/>
                <w:sz w:val="20"/>
              </w:rPr>
              <w:t>Údaje o nebezpečnosti</w:t>
            </w:r>
          </w:p>
        </w:tc>
      </w:tr>
      <w:tr w:rsidR="009F62AB">
        <w:trPr>
          <w:trHeight w:val="757"/>
        </w:trPr>
        <w:tc>
          <w:tcPr>
            <w:tcW w:w="1987" w:type="dxa"/>
          </w:tcPr>
          <w:p w:rsidR="009F62AB" w:rsidRDefault="0001483F">
            <w:pPr>
              <w:pStyle w:val="TableParagraph"/>
              <w:spacing w:before="125"/>
              <w:ind w:left="110" w:right="613"/>
              <w:rPr>
                <w:b/>
              </w:rPr>
            </w:pPr>
            <w:proofErr w:type="spellStart"/>
            <w:r>
              <w:rPr>
                <w:b/>
              </w:rPr>
              <w:t>Polymethylmethakrylát</w:t>
            </w:r>
            <w:proofErr w:type="spellEnd"/>
          </w:p>
        </w:tc>
        <w:tc>
          <w:tcPr>
            <w:tcW w:w="1436" w:type="dxa"/>
          </w:tcPr>
          <w:p w:rsidR="009F62AB" w:rsidRDefault="0001483F">
            <w:pPr>
              <w:pStyle w:val="TableParagraph"/>
              <w:spacing w:line="251" w:lineRule="exact"/>
              <w:ind w:left="106"/>
            </w:pPr>
            <w:r>
              <w:t>9011-14-7</w:t>
            </w:r>
          </w:p>
          <w:p w:rsidR="009F62AB" w:rsidRDefault="0001483F">
            <w:pPr>
              <w:pStyle w:val="TableParagraph"/>
              <w:spacing w:line="252" w:lineRule="exact"/>
              <w:ind w:left="106"/>
            </w:pPr>
            <w:r>
              <w:t>/</w:t>
            </w:r>
          </w:p>
          <w:p w:rsidR="009F62AB" w:rsidRDefault="0001483F">
            <w:pPr>
              <w:pStyle w:val="TableParagraph"/>
              <w:spacing w:before="1" w:line="233" w:lineRule="exact"/>
              <w:ind w:left="106"/>
            </w:pPr>
            <w:r>
              <w:t>/</w:t>
            </w:r>
          </w:p>
        </w:tc>
        <w:tc>
          <w:tcPr>
            <w:tcW w:w="1844" w:type="dxa"/>
          </w:tcPr>
          <w:p w:rsidR="009F62AB" w:rsidRDefault="009F62AB">
            <w:pPr>
              <w:pStyle w:val="TableParagraph"/>
              <w:spacing w:before="8"/>
              <w:ind w:left="0"/>
              <w:rPr>
                <w:sz w:val="21"/>
              </w:rPr>
            </w:pPr>
          </w:p>
          <w:p w:rsidR="009F62AB" w:rsidRDefault="0001483F">
            <w:pPr>
              <w:pStyle w:val="TableParagraph"/>
              <w:spacing w:before="1"/>
              <w:ind w:left="695" w:right="684"/>
              <w:jc w:val="center"/>
            </w:pPr>
            <w:r>
              <w:t>&gt; 99</w:t>
            </w:r>
          </w:p>
        </w:tc>
        <w:tc>
          <w:tcPr>
            <w:tcW w:w="1800" w:type="dxa"/>
          </w:tcPr>
          <w:p w:rsidR="009F62AB" w:rsidRDefault="0001483F">
            <w:pPr>
              <w:pStyle w:val="TableParagraph"/>
              <w:spacing w:line="251" w:lineRule="exact"/>
              <w:ind w:left="0" w:right="860"/>
              <w:jc w:val="right"/>
            </w:pPr>
            <w:r>
              <w:t>/</w:t>
            </w:r>
          </w:p>
        </w:tc>
        <w:tc>
          <w:tcPr>
            <w:tcW w:w="1803" w:type="dxa"/>
          </w:tcPr>
          <w:p w:rsidR="009F62AB" w:rsidRDefault="0001483F">
            <w:pPr>
              <w:pStyle w:val="TableParagraph"/>
              <w:spacing w:line="251" w:lineRule="exact"/>
              <w:ind w:left="5"/>
              <w:jc w:val="center"/>
            </w:pPr>
            <w:r>
              <w:t>/</w:t>
            </w:r>
          </w:p>
        </w:tc>
      </w:tr>
      <w:tr w:rsidR="009F62AB">
        <w:trPr>
          <w:trHeight w:val="1012"/>
        </w:trPr>
        <w:tc>
          <w:tcPr>
            <w:tcW w:w="1987" w:type="dxa"/>
          </w:tcPr>
          <w:p w:rsidR="009F62AB" w:rsidRDefault="0001483F">
            <w:pPr>
              <w:pStyle w:val="TableParagraph"/>
              <w:spacing w:line="251" w:lineRule="exact"/>
              <w:ind w:left="110"/>
              <w:rPr>
                <w:b/>
              </w:rPr>
            </w:pPr>
            <w:r>
              <w:rPr>
                <w:b/>
              </w:rPr>
              <w:t>Barviva:</w:t>
            </w:r>
          </w:p>
          <w:p w:rsidR="009F62AB" w:rsidRDefault="0001483F">
            <w:pPr>
              <w:pStyle w:val="TableParagraph"/>
              <w:spacing w:before="1" w:line="252" w:lineRule="exact"/>
              <w:ind w:left="110"/>
              <w:rPr>
                <w:b/>
              </w:rPr>
            </w:pPr>
            <w:r>
              <w:rPr>
                <w:b/>
              </w:rPr>
              <w:t>- organické pigmenty</w:t>
            </w:r>
          </w:p>
          <w:p w:rsidR="009F62AB" w:rsidRDefault="0001483F">
            <w:pPr>
              <w:pStyle w:val="TableParagraph"/>
              <w:numPr>
                <w:ilvl w:val="0"/>
                <w:numId w:val="8"/>
              </w:numPr>
              <w:tabs>
                <w:tab w:val="left" w:pos="240"/>
              </w:tabs>
              <w:spacing w:line="252" w:lineRule="exact"/>
              <w:rPr>
                <w:b/>
              </w:rPr>
            </w:pPr>
            <w:proofErr w:type="spellStart"/>
            <w:r>
              <w:rPr>
                <w:b/>
              </w:rPr>
              <w:t>ferro</w:t>
            </w:r>
            <w:proofErr w:type="spellEnd"/>
            <w:r>
              <w:rPr>
                <w:b/>
                <w:spacing w:val="-1"/>
              </w:rPr>
              <w:t xml:space="preserve"> </w:t>
            </w:r>
            <w:r>
              <w:rPr>
                <w:b/>
              </w:rPr>
              <w:t>kysličník</w:t>
            </w:r>
          </w:p>
          <w:p w:rsidR="009F62AB" w:rsidRDefault="0001483F">
            <w:pPr>
              <w:pStyle w:val="TableParagraph"/>
              <w:numPr>
                <w:ilvl w:val="0"/>
                <w:numId w:val="8"/>
              </w:numPr>
              <w:tabs>
                <w:tab w:val="left" w:pos="240"/>
              </w:tabs>
              <w:spacing w:before="2" w:line="233" w:lineRule="exact"/>
              <w:rPr>
                <w:b/>
              </w:rPr>
            </w:pPr>
            <w:r>
              <w:rPr>
                <w:b/>
              </w:rPr>
              <w:t>titán</w:t>
            </w:r>
            <w:r>
              <w:rPr>
                <w:b/>
                <w:spacing w:val="-1"/>
              </w:rPr>
              <w:t xml:space="preserve"> </w:t>
            </w:r>
            <w:r>
              <w:rPr>
                <w:b/>
              </w:rPr>
              <w:t>oxidem uhličitým</w:t>
            </w:r>
          </w:p>
        </w:tc>
        <w:tc>
          <w:tcPr>
            <w:tcW w:w="1436" w:type="dxa"/>
          </w:tcPr>
          <w:p w:rsidR="009F62AB" w:rsidRDefault="009F62AB">
            <w:pPr>
              <w:pStyle w:val="TableParagraph"/>
              <w:spacing w:before="11"/>
              <w:ind w:left="0"/>
              <w:rPr>
                <w:sz w:val="21"/>
              </w:rPr>
            </w:pPr>
          </w:p>
          <w:p w:rsidR="009F62AB" w:rsidRDefault="0001483F">
            <w:pPr>
              <w:pStyle w:val="TableParagraph"/>
              <w:spacing w:line="252" w:lineRule="exact"/>
              <w:ind w:left="106"/>
            </w:pPr>
            <w:r>
              <w:t>/</w:t>
            </w:r>
          </w:p>
          <w:p w:rsidR="009F62AB" w:rsidRDefault="0001483F">
            <w:pPr>
              <w:pStyle w:val="TableParagraph"/>
              <w:spacing w:line="252" w:lineRule="exact"/>
              <w:ind w:left="106"/>
            </w:pPr>
            <w:r>
              <w:t>1309-37-1</w:t>
            </w:r>
          </w:p>
          <w:p w:rsidR="009F62AB" w:rsidRDefault="0001483F">
            <w:pPr>
              <w:pStyle w:val="TableParagraph"/>
              <w:spacing w:before="1" w:line="233" w:lineRule="exact"/>
              <w:ind w:left="106"/>
            </w:pPr>
            <w:r>
              <w:t>13463-67-7</w:t>
            </w:r>
          </w:p>
        </w:tc>
        <w:tc>
          <w:tcPr>
            <w:tcW w:w="1844" w:type="dxa"/>
          </w:tcPr>
          <w:p w:rsidR="009F62AB" w:rsidRDefault="009F62AB">
            <w:pPr>
              <w:pStyle w:val="TableParagraph"/>
              <w:spacing w:before="9"/>
              <w:ind w:left="0"/>
              <w:rPr>
                <w:sz w:val="32"/>
              </w:rPr>
            </w:pPr>
          </w:p>
          <w:p w:rsidR="009F62AB" w:rsidRDefault="0001483F">
            <w:pPr>
              <w:pStyle w:val="TableParagraph"/>
              <w:ind w:left="695" w:right="685"/>
              <w:jc w:val="center"/>
            </w:pPr>
            <w:r>
              <w:t>&lt;&lt; 1</w:t>
            </w:r>
          </w:p>
        </w:tc>
        <w:tc>
          <w:tcPr>
            <w:tcW w:w="1800" w:type="dxa"/>
          </w:tcPr>
          <w:p w:rsidR="009F62AB" w:rsidRDefault="0001483F">
            <w:pPr>
              <w:pStyle w:val="TableParagraph"/>
              <w:spacing w:line="251" w:lineRule="exact"/>
              <w:ind w:left="0" w:right="860"/>
              <w:jc w:val="right"/>
            </w:pPr>
            <w:r>
              <w:t>/</w:t>
            </w:r>
          </w:p>
        </w:tc>
        <w:tc>
          <w:tcPr>
            <w:tcW w:w="1803" w:type="dxa"/>
          </w:tcPr>
          <w:p w:rsidR="009F62AB" w:rsidRDefault="0001483F">
            <w:pPr>
              <w:pStyle w:val="TableParagraph"/>
              <w:spacing w:line="251" w:lineRule="exact"/>
              <w:ind w:left="5"/>
              <w:jc w:val="center"/>
            </w:pPr>
            <w:r>
              <w:t>/</w:t>
            </w:r>
          </w:p>
        </w:tc>
      </w:tr>
      <w:tr w:rsidR="009F62AB">
        <w:trPr>
          <w:trHeight w:val="1012"/>
        </w:trPr>
        <w:tc>
          <w:tcPr>
            <w:tcW w:w="1987" w:type="dxa"/>
          </w:tcPr>
          <w:p w:rsidR="009F62AB" w:rsidRDefault="009F62AB">
            <w:pPr>
              <w:pStyle w:val="TableParagraph"/>
              <w:spacing w:before="9"/>
              <w:ind w:left="0"/>
              <w:rPr>
                <w:sz w:val="32"/>
              </w:rPr>
            </w:pPr>
          </w:p>
          <w:p w:rsidR="009F62AB" w:rsidRDefault="0001483F">
            <w:pPr>
              <w:pStyle w:val="TableParagraph"/>
              <w:ind w:left="110"/>
              <w:rPr>
                <w:b/>
              </w:rPr>
            </w:pPr>
            <w:r>
              <w:rPr>
                <w:b/>
              </w:rPr>
              <w:t>Plynový pedál</w:t>
            </w:r>
          </w:p>
        </w:tc>
        <w:tc>
          <w:tcPr>
            <w:tcW w:w="1436" w:type="dxa"/>
          </w:tcPr>
          <w:p w:rsidR="009F62AB" w:rsidRDefault="0001483F">
            <w:pPr>
              <w:pStyle w:val="TableParagraph"/>
              <w:spacing w:before="125" w:line="252" w:lineRule="exact"/>
              <w:ind w:left="106"/>
            </w:pPr>
            <w:r>
              <w:t>94-36-0</w:t>
            </w:r>
          </w:p>
          <w:p w:rsidR="009F62AB" w:rsidRDefault="0001483F">
            <w:pPr>
              <w:pStyle w:val="TableParagraph"/>
              <w:spacing w:line="252" w:lineRule="exact"/>
              <w:ind w:left="106"/>
            </w:pPr>
            <w:r>
              <w:t>202-327-6</w:t>
            </w:r>
          </w:p>
          <w:p w:rsidR="009F62AB" w:rsidRDefault="0001483F">
            <w:pPr>
              <w:pStyle w:val="TableParagraph"/>
              <w:spacing w:before="2"/>
              <w:ind w:left="106"/>
            </w:pPr>
            <w:r>
              <w:t>/</w:t>
            </w:r>
          </w:p>
        </w:tc>
        <w:tc>
          <w:tcPr>
            <w:tcW w:w="1844" w:type="dxa"/>
          </w:tcPr>
          <w:p w:rsidR="009F62AB" w:rsidRDefault="009F62AB">
            <w:pPr>
              <w:pStyle w:val="TableParagraph"/>
              <w:spacing w:before="9"/>
              <w:ind w:left="0"/>
              <w:rPr>
                <w:sz w:val="32"/>
              </w:rPr>
            </w:pPr>
          </w:p>
          <w:p w:rsidR="009F62AB" w:rsidRDefault="0001483F">
            <w:pPr>
              <w:pStyle w:val="TableParagraph"/>
              <w:ind w:left="695" w:right="685"/>
              <w:jc w:val="center"/>
            </w:pPr>
            <w:r>
              <w:t>&lt; 1</w:t>
            </w:r>
          </w:p>
        </w:tc>
        <w:tc>
          <w:tcPr>
            <w:tcW w:w="1800" w:type="dxa"/>
          </w:tcPr>
          <w:p w:rsidR="009F62AB" w:rsidRDefault="0001483F">
            <w:pPr>
              <w:pStyle w:val="TableParagraph"/>
              <w:ind w:left="104" w:right="553"/>
            </w:pPr>
            <w:proofErr w:type="spellStart"/>
            <w:r>
              <w:t>Org.Perox.B</w:t>
            </w:r>
            <w:proofErr w:type="spellEnd"/>
            <w:r>
              <w:t xml:space="preserve"> Skin </w:t>
            </w:r>
            <w:proofErr w:type="gramStart"/>
            <w:r>
              <w:t xml:space="preserve">Sens.1 </w:t>
            </w:r>
            <w:proofErr w:type="spellStart"/>
            <w:r>
              <w:t>Eye</w:t>
            </w:r>
            <w:proofErr w:type="spellEnd"/>
            <w:proofErr w:type="gramEnd"/>
            <w:r>
              <w:t xml:space="preserve"> Irrit.2</w:t>
            </w:r>
          </w:p>
          <w:p w:rsidR="009F62AB" w:rsidRDefault="0001483F">
            <w:pPr>
              <w:pStyle w:val="TableParagraph"/>
              <w:spacing w:line="235" w:lineRule="exact"/>
              <w:ind w:left="148"/>
            </w:pPr>
            <w:proofErr w:type="spellStart"/>
            <w:r>
              <w:t>Aquatic</w:t>
            </w:r>
            <w:proofErr w:type="spellEnd"/>
            <w:r>
              <w:t xml:space="preserve"> </w:t>
            </w:r>
            <w:proofErr w:type="spellStart"/>
            <w:r>
              <w:t>Acute</w:t>
            </w:r>
            <w:proofErr w:type="spellEnd"/>
            <w:r>
              <w:t>. 1</w:t>
            </w:r>
          </w:p>
        </w:tc>
        <w:tc>
          <w:tcPr>
            <w:tcW w:w="1803" w:type="dxa"/>
          </w:tcPr>
          <w:p w:rsidR="009F62AB" w:rsidRDefault="0001483F">
            <w:pPr>
              <w:pStyle w:val="TableParagraph"/>
              <w:ind w:right="1193"/>
              <w:jc w:val="both"/>
            </w:pPr>
            <w:r>
              <w:t>H241 H317 H319</w:t>
            </w:r>
          </w:p>
          <w:p w:rsidR="009F62AB" w:rsidRDefault="0001483F">
            <w:pPr>
              <w:pStyle w:val="TableParagraph"/>
              <w:spacing w:line="235" w:lineRule="exact"/>
            </w:pPr>
            <w:r>
              <w:t>H400</w:t>
            </w:r>
          </w:p>
        </w:tc>
      </w:tr>
    </w:tbl>
    <w:p w:rsidR="009F62AB" w:rsidRDefault="005D4CB0">
      <w:pPr>
        <w:pStyle w:val="Zkladntext"/>
        <w:spacing w:before="5"/>
        <w:rPr>
          <w:sz w:val="17"/>
        </w:rPr>
      </w:pPr>
      <w:r>
        <w:pict>
          <v:group id="_x0000_s1129" style="position:absolute;margin-left:84pt;margin-top:12.25pt;width:444.2pt;height:273.8pt;z-index:-251651072;mso-wrap-distance-left:0;mso-wrap-distance-right:0;mso-position-horizontal-relative:page;mso-position-vertical-relative:text" coordorigin="1680,245" coordsize="8884,5607">
            <v:line id="_x0000_s1133" style="position:absolute" from="1690,250" to="10555,250" strokeweight=".48pt"/>
            <v:line id="_x0000_s1132" style="position:absolute" from="1685,245" to="1685,5852" strokeweight=".48pt"/>
            <v:line id="_x0000_s1131" style="position:absolute" from="10560,245" to="10560,5852" strokeweight=".48pt"/>
            <v:shape id="_x0000_s1130" type="#_x0000_t202" style="position:absolute;left:1680;top:245;width:8884;height:5607" filled="f" stroked="f">
              <v:textbox style="mso-next-textbox:#_x0000_s1130" inset="0,0,0,0">
                <w:txbxContent>
                  <w:p w:rsidR="00FA33FF" w:rsidRPr="00FA33FF" w:rsidRDefault="00FA33FF" w:rsidP="00FA33FF">
                    <w:pPr>
                      <w:numPr>
                        <w:ilvl w:val="1"/>
                        <w:numId w:val="7"/>
                      </w:numPr>
                      <w:tabs>
                        <w:tab w:val="left" w:pos="478"/>
                      </w:tabs>
                      <w:spacing w:before="56"/>
                      <w:rPr>
                        <w:rFonts w:ascii="Arial" w:hAnsi="Arial" w:cs="Arial"/>
                        <w:b/>
                        <w:sz w:val="24"/>
                      </w:rPr>
                    </w:pPr>
                    <w:r w:rsidRPr="00FA33FF">
                      <w:rPr>
                        <w:rFonts w:ascii="Arial" w:hAnsi="Arial" w:cs="Arial"/>
                        <w:b/>
                        <w:i/>
                        <w:sz w:val="24"/>
                      </w:rPr>
                      <w:t>ODDÍL 4: Pokyny pro první pomoc</w:t>
                    </w:r>
                  </w:p>
                  <w:p w:rsidR="005D4CB0" w:rsidRPr="005D4CB0" w:rsidRDefault="005D4CB0" w:rsidP="005D4CB0">
                    <w:pPr>
                      <w:pStyle w:val="Odstavecseseznamem"/>
                      <w:numPr>
                        <w:ilvl w:val="1"/>
                        <w:numId w:val="7"/>
                      </w:numPr>
                      <w:rPr>
                        <w:b/>
                        <w:sz w:val="24"/>
                      </w:rPr>
                    </w:pPr>
                    <w:r w:rsidRPr="005D4CB0">
                      <w:rPr>
                        <w:b/>
                        <w:sz w:val="24"/>
                      </w:rPr>
                      <w:t>Popis první pomoci</w:t>
                    </w:r>
                    <w:r>
                      <w:rPr>
                        <w:b/>
                        <w:sz w:val="24"/>
                      </w:rPr>
                      <w:t>:</w:t>
                    </w:r>
                  </w:p>
                  <w:p w:rsidR="00483010" w:rsidRPr="005D4CB0" w:rsidRDefault="00483010" w:rsidP="005D4CB0">
                    <w:pPr>
                      <w:pStyle w:val="Odstavecseseznamem"/>
                      <w:numPr>
                        <w:ilvl w:val="1"/>
                        <w:numId w:val="7"/>
                      </w:numPr>
                      <w:rPr>
                        <w:i/>
                        <w:sz w:val="24"/>
                      </w:rPr>
                    </w:pPr>
                    <w:r w:rsidRPr="005D4CB0">
                      <w:rPr>
                        <w:i/>
                        <w:sz w:val="24"/>
                      </w:rPr>
                      <w:t>Inhalace:</w:t>
                    </w:r>
                  </w:p>
                  <w:p w:rsidR="00483010" w:rsidRPr="00483010" w:rsidRDefault="00483010" w:rsidP="00483010">
                    <w:pPr>
                      <w:ind w:left="117"/>
                      <w:rPr>
                        <w:sz w:val="24"/>
                      </w:rPr>
                    </w:pPr>
                    <w:r w:rsidRPr="00483010">
                      <w:rPr>
                        <w:sz w:val="24"/>
                      </w:rPr>
                      <w:t>Přeneste na čerstvý vzduch a udržujte ji v pohodlí pro dýchání.</w:t>
                    </w:r>
                  </w:p>
                  <w:p w:rsidR="00483010" w:rsidRPr="00483010" w:rsidRDefault="00483010" w:rsidP="00483010">
                    <w:pPr>
                      <w:ind w:left="117"/>
                      <w:rPr>
                        <w:sz w:val="24"/>
                      </w:rPr>
                    </w:pPr>
                    <w:r w:rsidRPr="00483010">
                      <w:rPr>
                        <w:sz w:val="24"/>
                      </w:rPr>
                      <w:t>Kožní kontakt:</w:t>
                    </w:r>
                  </w:p>
                  <w:p w:rsidR="00483010" w:rsidRPr="00483010" w:rsidRDefault="00483010" w:rsidP="00483010">
                    <w:pPr>
                      <w:ind w:left="117"/>
                      <w:rPr>
                        <w:sz w:val="24"/>
                      </w:rPr>
                    </w:pPr>
                    <w:r w:rsidRPr="00483010">
                      <w:rPr>
                        <w:sz w:val="24"/>
                      </w:rPr>
                      <w:t>Důkladně omyjte vodou. Dojde-li k podráždění kůže nebo vyrážce: vyhledejte lékařskou pomoc.</w:t>
                    </w:r>
                  </w:p>
                  <w:p w:rsidR="00483010" w:rsidRPr="00483010" w:rsidRDefault="00483010" w:rsidP="00483010">
                    <w:pPr>
                      <w:ind w:left="117"/>
                      <w:rPr>
                        <w:i/>
                        <w:sz w:val="24"/>
                      </w:rPr>
                    </w:pPr>
                    <w:r w:rsidRPr="00483010">
                      <w:rPr>
                        <w:i/>
                        <w:sz w:val="24"/>
                      </w:rPr>
                      <w:t>Oční kontakt:</w:t>
                    </w:r>
                  </w:p>
                  <w:p w:rsidR="00483010" w:rsidRPr="00483010" w:rsidRDefault="00483010" w:rsidP="00483010">
                    <w:pPr>
                      <w:ind w:left="117"/>
                      <w:rPr>
                        <w:sz w:val="24"/>
                      </w:rPr>
                    </w:pPr>
                    <w:r w:rsidRPr="00483010">
                      <w:rPr>
                        <w:sz w:val="24"/>
                      </w:rPr>
                      <w:t>Několik minut důkladně oplachujte vodou. Vyjměte kontaktní čočky, pokud jsou nasazeny a lze je snadno vyjmout. Pokračujte ve vyplachování.</w:t>
                    </w:r>
                  </w:p>
                  <w:p w:rsidR="00483010" w:rsidRPr="00483010" w:rsidRDefault="00483010" w:rsidP="00483010">
                    <w:pPr>
                      <w:rPr>
                        <w:i/>
                        <w:sz w:val="24"/>
                      </w:rPr>
                    </w:pPr>
                    <w:r>
                      <w:rPr>
                        <w:i/>
                        <w:sz w:val="24"/>
                      </w:rPr>
                      <w:t xml:space="preserve">  </w:t>
                    </w:r>
                    <w:r w:rsidRPr="00483010">
                      <w:rPr>
                        <w:i/>
                        <w:sz w:val="24"/>
                      </w:rPr>
                      <w:t>Požití:</w:t>
                    </w:r>
                  </w:p>
                  <w:p w:rsidR="00483010" w:rsidRPr="00483010" w:rsidRDefault="00483010" w:rsidP="00483010">
                    <w:pPr>
                      <w:ind w:left="117"/>
                      <w:rPr>
                        <w:sz w:val="24"/>
                      </w:rPr>
                    </w:pPr>
                    <w:r w:rsidRPr="00483010">
                      <w:rPr>
                        <w:sz w:val="24"/>
                      </w:rPr>
                      <w:t>Nevyvolávejte zvracení. Vypláchněte ústa a dejte napít vody. Dojde-li k nežádoucímu účinku, vyhledejte lékařskou pomoc.</w:t>
                    </w:r>
                  </w:p>
                  <w:p w:rsidR="00483010" w:rsidRPr="00483010" w:rsidRDefault="00483010" w:rsidP="00483010">
                    <w:pPr>
                      <w:ind w:left="117"/>
                      <w:rPr>
                        <w:i/>
                        <w:sz w:val="24"/>
                      </w:rPr>
                    </w:pPr>
                  </w:p>
                  <w:p w:rsidR="00483010" w:rsidRPr="00483010" w:rsidRDefault="00483010" w:rsidP="00483010">
                    <w:pPr>
                      <w:ind w:left="117"/>
                      <w:rPr>
                        <w:b/>
                        <w:sz w:val="24"/>
                      </w:rPr>
                    </w:pPr>
                    <w:r w:rsidRPr="00483010">
                      <w:rPr>
                        <w:b/>
                        <w:sz w:val="24"/>
                      </w:rPr>
                      <w:t>4.3 Nejdůležitější akutní a opožděné symptomy a účinky</w:t>
                    </w:r>
                  </w:p>
                  <w:p w:rsidR="00483010" w:rsidRPr="00483010" w:rsidRDefault="00483010" w:rsidP="00483010">
                    <w:pPr>
                      <w:ind w:left="117"/>
                      <w:rPr>
                        <w:sz w:val="24"/>
                      </w:rPr>
                    </w:pPr>
                    <w:r w:rsidRPr="00483010">
                      <w:rPr>
                        <w:sz w:val="24"/>
                      </w:rPr>
                      <w:t>Viz část 11.</w:t>
                    </w:r>
                  </w:p>
                  <w:p w:rsidR="00483010" w:rsidRPr="00483010" w:rsidRDefault="00483010" w:rsidP="00483010">
                    <w:pPr>
                      <w:ind w:left="117"/>
                      <w:rPr>
                        <w:b/>
                        <w:sz w:val="24"/>
                      </w:rPr>
                    </w:pPr>
                  </w:p>
                  <w:p w:rsidR="009F62AB" w:rsidRPr="00483010" w:rsidRDefault="00483010" w:rsidP="00483010">
                    <w:pPr>
                      <w:ind w:left="117"/>
                      <w:rPr>
                        <w:b/>
                        <w:sz w:val="24"/>
                      </w:rPr>
                    </w:pPr>
                    <w:r w:rsidRPr="00483010">
                      <w:rPr>
                        <w:b/>
                        <w:sz w:val="24"/>
                      </w:rPr>
                      <w:t>4.4 Pokyn týkající se okamžité lékařské pomoci a zvláštního ošetření</w:t>
                    </w:r>
                  </w:p>
                </w:txbxContent>
              </v:textbox>
            </v:shape>
            <w10:wrap type="topAndBottom" anchorx="page"/>
          </v:group>
        </w:pict>
      </w:r>
    </w:p>
    <w:p w:rsidR="009F62AB" w:rsidRDefault="009F62AB">
      <w:pPr>
        <w:rPr>
          <w:sz w:val="17"/>
        </w:rPr>
        <w:sectPr w:rsidR="009F62AB">
          <w:pgSz w:w="12250" w:h="15850"/>
          <w:pgMar w:top="2120" w:right="1560" w:bottom="1140" w:left="1580" w:header="738" w:footer="957" w:gutter="0"/>
          <w:cols w:space="708"/>
        </w:sectPr>
      </w:pPr>
    </w:p>
    <w:p w:rsidR="009F62AB" w:rsidRDefault="005D4CB0">
      <w:pPr>
        <w:pStyle w:val="Zkladntext"/>
        <w:ind w:left="100"/>
        <w:rPr>
          <w:sz w:val="20"/>
        </w:rPr>
      </w:pPr>
      <w:r>
        <w:rPr>
          <w:sz w:val="20"/>
        </w:rPr>
      </w:r>
      <w:r>
        <w:rPr>
          <w:sz w:val="20"/>
        </w:rPr>
        <w:pict>
          <v:group id="_x0000_s1124" style="width:444.2pt;height:15.4pt;mso-position-horizontal-relative:char;mso-position-vertical-relative:line" coordsize="8884,308">
            <v:line id="_x0000_s1128" style="position:absolute" from="10,302" to="8874,302" strokeweight=".48pt"/>
            <v:line id="_x0000_s1127" style="position:absolute" from="5,0" to="5,307" strokeweight=".48pt"/>
            <v:line id="_x0000_s1126" style="position:absolute" from="8879,0" to="8879,307" strokeweight=".48pt"/>
            <v:shape id="_x0000_s1125" type="#_x0000_t202" style="position:absolute;width:8884;height:308" filled="f" stroked="f">
              <v:textbox inset="0,0,0,0">
                <w:txbxContent>
                  <w:p w:rsidR="009F62AB" w:rsidRDefault="00736464">
                    <w:pPr>
                      <w:spacing w:line="275" w:lineRule="exact"/>
                      <w:ind w:left="117"/>
                      <w:rPr>
                        <w:sz w:val="24"/>
                      </w:rPr>
                    </w:pPr>
                    <w:r w:rsidRPr="00736464">
                      <w:rPr>
                        <w:sz w:val="24"/>
                      </w:rPr>
                      <w:t>Nelze použít</w:t>
                    </w:r>
                  </w:p>
                </w:txbxContent>
              </v:textbox>
            </v:shape>
            <w10:anchorlock/>
          </v:group>
        </w:pict>
      </w:r>
    </w:p>
    <w:p w:rsidR="009F62AB" w:rsidRDefault="009F62AB">
      <w:pPr>
        <w:pStyle w:val="Zkladntext"/>
        <w:rPr>
          <w:sz w:val="20"/>
        </w:rPr>
      </w:pPr>
    </w:p>
    <w:p w:rsidR="009F62AB" w:rsidRDefault="005D4CB0">
      <w:pPr>
        <w:pStyle w:val="Zkladntext"/>
        <w:spacing w:before="5"/>
        <w:rPr>
          <w:sz w:val="17"/>
        </w:rPr>
      </w:pPr>
      <w:r>
        <w:pict>
          <v:shape id="_x0000_s1123" type="#_x0000_t202" style="position:absolute;margin-left:84.25pt;margin-top:12.25pt;width:443.75pt;height:198.65pt;z-index:-251648000;mso-wrap-distance-left:0;mso-wrap-distance-right:0;mso-position-horizontal-relative:page" filled="f" strokeweight=".48pt">
            <v:textbox inset="0,0,0,0">
              <w:txbxContent>
                <w:p w:rsidR="00736464" w:rsidRPr="00736464" w:rsidRDefault="00736464" w:rsidP="00736464">
                  <w:pPr>
                    <w:pStyle w:val="Zkladntext"/>
                    <w:ind w:left="108" w:right="113"/>
                    <w:rPr>
                      <w:rFonts w:ascii="Arial" w:hAnsi="Arial" w:cs="Arial"/>
                      <w:b/>
                      <w:i/>
                      <w:szCs w:val="22"/>
                    </w:rPr>
                  </w:pPr>
                  <w:r w:rsidRPr="00736464">
                    <w:rPr>
                      <w:rFonts w:ascii="Arial" w:hAnsi="Arial" w:cs="Arial"/>
                      <w:b/>
                      <w:i/>
                      <w:szCs w:val="22"/>
                    </w:rPr>
                    <w:t>ODDÍL 5: Opatření pro hašení požáru</w:t>
                  </w:r>
                </w:p>
                <w:p w:rsidR="00736464" w:rsidRPr="00736464" w:rsidRDefault="00736464" w:rsidP="00736464">
                  <w:pPr>
                    <w:pStyle w:val="Zkladntext"/>
                    <w:ind w:left="108" w:right="113"/>
                    <w:rPr>
                      <w:b/>
                      <w:i/>
                      <w:szCs w:val="22"/>
                    </w:rPr>
                  </w:pPr>
                  <w:r w:rsidRPr="00736464">
                    <w:rPr>
                      <w:b/>
                      <w:i/>
                      <w:szCs w:val="22"/>
                    </w:rPr>
                    <w:t>5.1 Hasiva</w:t>
                  </w:r>
                </w:p>
                <w:p w:rsidR="00736464" w:rsidRPr="00736464" w:rsidRDefault="00736464" w:rsidP="00736464">
                  <w:pPr>
                    <w:pStyle w:val="Zkladntext"/>
                    <w:ind w:left="108" w:right="113"/>
                    <w:rPr>
                      <w:szCs w:val="22"/>
                    </w:rPr>
                  </w:pPr>
                  <w:r w:rsidRPr="00736464">
                    <w:rPr>
                      <w:szCs w:val="22"/>
                    </w:rPr>
                    <w:t>Vhodná hasiva: V případě požáru použijte vodní sprchu, suchý prášek nebo CO2</w:t>
                  </w:r>
                </w:p>
                <w:p w:rsidR="00736464" w:rsidRPr="00736464" w:rsidRDefault="00736464" w:rsidP="00736464">
                  <w:pPr>
                    <w:pStyle w:val="Zkladntext"/>
                    <w:ind w:left="108" w:right="113"/>
                    <w:rPr>
                      <w:b/>
                      <w:i/>
                      <w:szCs w:val="22"/>
                    </w:rPr>
                  </w:pPr>
                  <w:r w:rsidRPr="00736464">
                    <w:rPr>
                      <w:szCs w:val="22"/>
                    </w:rPr>
                    <w:t>Nevhodná hasiva: Nepoužívejte proud vody</w:t>
                  </w:r>
                  <w:r w:rsidRPr="00736464">
                    <w:rPr>
                      <w:b/>
                      <w:i/>
                      <w:szCs w:val="22"/>
                    </w:rPr>
                    <w:t>.</w:t>
                  </w:r>
                </w:p>
                <w:p w:rsidR="00736464" w:rsidRPr="00736464" w:rsidRDefault="00736464" w:rsidP="00736464">
                  <w:pPr>
                    <w:pStyle w:val="Zkladntext"/>
                    <w:ind w:left="108" w:right="113"/>
                    <w:rPr>
                      <w:b/>
                      <w:i/>
                      <w:szCs w:val="22"/>
                    </w:rPr>
                  </w:pPr>
                </w:p>
                <w:p w:rsidR="00736464" w:rsidRPr="00736464" w:rsidRDefault="00736464" w:rsidP="00736464">
                  <w:pPr>
                    <w:pStyle w:val="Zkladntext"/>
                    <w:ind w:left="108" w:right="113"/>
                    <w:rPr>
                      <w:b/>
                      <w:i/>
                      <w:szCs w:val="22"/>
                    </w:rPr>
                  </w:pPr>
                  <w:r w:rsidRPr="00736464">
                    <w:rPr>
                      <w:b/>
                      <w:i/>
                      <w:szCs w:val="22"/>
                    </w:rPr>
                    <w:t>5.2 Zvláštní nebezpečnost vyplývající z látky nebo směsi</w:t>
                  </w:r>
                </w:p>
                <w:p w:rsidR="00736464" w:rsidRPr="00736464" w:rsidRDefault="00736464" w:rsidP="00736464">
                  <w:pPr>
                    <w:pStyle w:val="Zkladntext"/>
                    <w:ind w:left="108" w:right="113"/>
                    <w:rPr>
                      <w:szCs w:val="22"/>
                    </w:rPr>
                  </w:pPr>
                  <w:r w:rsidRPr="00736464">
                    <w:rPr>
                      <w:szCs w:val="22"/>
                    </w:rPr>
                    <w:t>Hořlavý, ale nesnadno se vznítí. Při spalování nebo tepelném rozkladu se uvolňují toxické, dráždivé a hořlavé výpary. Tento produkt může při zvýšených teplotách vytvářet oblaka hořlavého prachu. Minimální teplota vznícení oblaku prachu podobného polymeru byla naměřena přibližně 480 °C (IEC 1241-2-1).</w:t>
                  </w:r>
                </w:p>
                <w:p w:rsidR="00736464" w:rsidRPr="00736464" w:rsidRDefault="00736464" w:rsidP="00736464">
                  <w:pPr>
                    <w:pStyle w:val="Zkladntext"/>
                    <w:ind w:left="108" w:right="113"/>
                    <w:rPr>
                      <w:b/>
                      <w:i/>
                      <w:szCs w:val="22"/>
                    </w:rPr>
                  </w:pPr>
                </w:p>
                <w:p w:rsidR="00736464" w:rsidRPr="00736464" w:rsidRDefault="00736464" w:rsidP="00736464">
                  <w:pPr>
                    <w:pStyle w:val="Zkladntext"/>
                    <w:ind w:left="108" w:right="113"/>
                    <w:rPr>
                      <w:b/>
                      <w:i/>
                      <w:szCs w:val="22"/>
                    </w:rPr>
                  </w:pPr>
                  <w:r w:rsidRPr="00736464">
                    <w:rPr>
                      <w:b/>
                      <w:i/>
                      <w:szCs w:val="22"/>
                    </w:rPr>
                    <w:t>5.3 Rady pro hasiče</w:t>
                  </w:r>
                </w:p>
                <w:p w:rsidR="009F62AB" w:rsidRPr="00736464" w:rsidRDefault="00736464" w:rsidP="00736464">
                  <w:pPr>
                    <w:pStyle w:val="Zkladntext"/>
                    <w:ind w:left="108" w:right="113"/>
                  </w:pPr>
                  <w:r w:rsidRPr="00736464">
                    <w:rPr>
                      <w:szCs w:val="22"/>
                    </w:rPr>
                    <w:t>Při požáru by se měl používat samostatný dýchací přístroj a vhodný ochranný oděv.</w:t>
                  </w:r>
                </w:p>
              </w:txbxContent>
            </v:textbox>
            <w10:wrap type="topAndBottom" anchorx="page"/>
          </v:shape>
        </w:pict>
      </w:r>
    </w:p>
    <w:p w:rsidR="009F62AB" w:rsidRDefault="009F62AB">
      <w:pPr>
        <w:pStyle w:val="Zkladntext"/>
        <w:rPr>
          <w:sz w:val="20"/>
        </w:rPr>
      </w:pPr>
    </w:p>
    <w:p w:rsidR="009F62AB" w:rsidRDefault="005D4CB0">
      <w:pPr>
        <w:pStyle w:val="Zkladntext"/>
        <w:spacing w:before="1"/>
        <w:rPr>
          <w:sz w:val="19"/>
        </w:rPr>
      </w:pPr>
      <w:r>
        <w:pict>
          <v:shape id="_x0000_s1122" type="#_x0000_t202" style="position:absolute;margin-left:84.25pt;margin-top:13.2pt;width:443.75pt;height:226.15pt;z-index:-251646976;mso-wrap-distance-left:0;mso-wrap-distance-right:0;mso-position-horizontal-relative:page" filled="f" strokeweight=".48pt">
            <v:textbox style="mso-next-textbox:#_x0000_s1122" inset="0,0,0,0">
              <w:txbxContent>
                <w:p w:rsidR="00736464" w:rsidRPr="00673518" w:rsidRDefault="00736464" w:rsidP="00736464">
                  <w:pPr>
                    <w:pStyle w:val="Zkladntext"/>
                    <w:ind w:left="108" w:right="259"/>
                    <w:rPr>
                      <w:rFonts w:ascii="Arial" w:hAnsi="Arial" w:cs="Arial"/>
                      <w:b/>
                      <w:i/>
                      <w:szCs w:val="22"/>
                    </w:rPr>
                  </w:pPr>
                  <w:r w:rsidRPr="00673518">
                    <w:rPr>
                      <w:rFonts w:ascii="Arial" w:hAnsi="Arial" w:cs="Arial"/>
                      <w:b/>
                      <w:i/>
                      <w:szCs w:val="22"/>
                    </w:rPr>
                    <w:t>ODDÍL 6: Opatření v případě náhodného úniku</w:t>
                  </w:r>
                </w:p>
                <w:p w:rsidR="00736464" w:rsidRPr="00673518" w:rsidRDefault="00736464" w:rsidP="00736464">
                  <w:pPr>
                    <w:pStyle w:val="Zkladntext"/>
                    <w:ind w:left="108" w:right="259"/>
                    <w:rPr>
                      <w:rFonts w:ascii="Arial" w:hAnsi="Arial" w:cs="Arial"/>
                      <w:b/>
                      <w:i/>
                      <w:szCs w:val="22"/>
                    </w:rPr>
                  </w:pPr>
                  <w:r w:rsidRPr="00673518">
                    <w:rPr>
                      <w:rFonts w:ascii="Arial" w:hAnsi="Arial" w:cs="Arial"/>
                      <w:b/>
                      <w:i/>
                      <w:szCs w:val="22"/>
                    </w:rPr>
                    <w:t>6.1 Opatření na ochranu osob, ochranné prostředky a nouzové postupy</w:t>
                  </w:r>
                </w:p>
                <w:p w:rsidR="00736464" w:rsidRPr="00673518" w:rsidRDefault="00736464" w:rsidP="00736464">
                  <w:pPr>
                    <w:pStyle w:val="Zkladntext"/>
                    <w:ind w:left="108" w:right="259"/>
                    <w:rPr>
                      <w:szCs w:val="22"/>
                    </w:rPr>
                  </w:pPr>
                  <w:r w:rsidRPr="00673518">
                    <w:rPr>
                      <w:szCs w:val="22"/>
                    </w:rPr>
                    <w:t>Používejte vhodný ochranný oděv, rukavice a ochranu očí/obličeje. Viz bod 8</w:t>
                  </w:r>
                </w:p>
                <w:p w:rsidR="00736464" w:rsidRPr="00673518" w:rsidRDefault="00736464" w:rsidP="00736464">
                  <w:pPr>
                    <w:pStyle w:val="Zkladntext"/>
                    <w:ind w:left="108" w:right="259"/>
                    <w:rPr>
                      <w:szCs w:val="22"/>
                    </w:rPr>
                  </w:pPr>
                  <w:r w:rsidRPr="00673518">
                    <w:rPr>
                      <w:szCs w:val="22"/>
                    </w:rPr>
                    <w:t>Osobní ochrana. Pozor – rozlité látky mohou být kluzké.</w:t>
                  </w:r>
                </w:p>
                <w:p w:rsidR="00736464" w:rsidRPr="00673518" w:rsidRDefault="00736464" w:rsidP="00736464">
                  <w:pPr>
                    <w:pStyle w:val="Zkladntext"/>
                    <w:ind w:left="108" w:right="259"/>
                    <w:rPr>
                      <w:rFonts w:ascii="Arial" w:hAnsi="Arial" w:cs="Arial"/>
                      <w:b/>
                      <w:i/>
                      <w:szCs w:val="22"/>
                    </w:rPr>
                  </w:pPr>
                </w:p>
                <w:p w:rsidR="00736464" w:rsidRPr="00673518" w:rsidRDefault="00736464" w:rsidP="00736464">
                  <w:pPr>
                    <w:pStyle w:val="Zkladntext"/>
                    <w:ind w:left="108" w:right="259"/>
                    <w:rPr>
                      <w:rFonts w:ascii="Arial" w:hAnsi="Arial" w:cs="Arial"/>
                      <w:b/>
                      <w:i/>
                      <w:szCs w:val="22"/>
                    </w:rPr>
                  </w:pPr>
                  <w:r w:rsidRPr="00673518">
                    <w:rPr>
                      <w:rFonts w:ascii="Arial" w:hAnsi="Arial" w:cs="Arial"/>
                      <w:b/>
                      <w:i/>
                      <w:szCs w:val="22"/>
                    </w:rPr>
                    <w:t>6.2 Opatření na ochranu životního prostředí</w:t>
                  </w:r>
                </w:p>
                <w:p w:rsidR="00736464" w:rsidRPr="00673518" w:rsidRDefault="00736464" w:rsidP="00736464">
                  <w:pPr>
                    <w:pStyle w:val="Zkladntext"/>
                    <w:ind w:left="108" w:right="259"/>
                    <w:rPr>
                      <w:szCs w:val="22"/>
                    </w:rPr>
                  </w:pPr>
                  <w:r w:rsidRPr="00673518">
                    <w:rPr>
                      <w:szCs w:val="22"/>
                    </w:rPr>
                    <w:t>Viz bod 12 pro informace týkající se životního prostředí. Zabraňte uvolnění do životního prostředí.</w:t>
                  </w:r>
                </w:p>
                <w:p w:rsidR="00736464" w:rsidRPr="00673518" w:rsidRDefault="00736464" w:rsidP="00736464">
                  <w:pPr>
                    <w:pStyle w:val="Zkladntext"/>
                    <w:ind w:left="108" w:right="259"/>
                    <w:rPr>
                      <w:rFonts w:ascii="Arial" w:hAnsi="Arial" w:cs="Arial"/>
                      <w:b/>
                      <w:i/>
                      <w:szCs w:val="22"/>
                    </w:rPr>
                  </w:pPr>
                </w:p>
                <w:p w:rsidR="00736464" w:rsidRPr="00673518" w:rsidRDefault="00736464" w:rsidP="00736464">
                  <w:pPr>
                    <w:pStyle w:val="Zkladntext"/>
                    <w:ind w:left="108" w:right="259"/>
                    <w:rPr>
                      <w:rFonts w:ascii="Arial" w:hAnsi="Arial" w:cs="Arial"/>
                      <w:b/>
                      <w:i/>
                      <w:szCs w:val="22"/>
                    </w:rPr>
                  </w:pPr>
                  <w:r w:rsidRPr="00673518">
                    <w:rPr>
                      <w:rFonts w:ascii="Arial" w:hAnsi="Arial" w:cs="Arial"/>
                      <w:b/>
                      <w:i/>
                      <w:szCs w:val="22"/>
                    </w:rPr>
                    <w:t>6.3 Metody a materiál pro omezení úniku a pro čištění</w:t>
                  </w:r>
                </w:p>
                <w:p w:rsidR="00736464" w:rsidRPr="00673518" w:rsidRDefault="00736464" w:rsidP="00736464">
                  <w:pPr>
                    <w:pStyle w:val="Zkladntext"/>
                    <w:ind w:left="108" w:right="259"/>
                    <w:rPr>
                      <w:szCs w:val="22"/>
                    </w:rPr>
                  </w:pPr>
                  <w:r w:rsidRPr="00673518">
                    <w:rPr>
                      <w:szCs w:val="22"/>
                    </w:rPr>
                    <w:t>Shromážděte v nádobách k likvidaci pomocí schváleného prachového respirátoru.</w:t>
                  </w:r>
                </w:p>
                <w:p w:rsidR="00736464" w:rsidRPr="00673518" w:rsidRDefault="00736464" w:rsidP="00736464">
                  <w:pPr>
                    <w:pStyle w:val="Zkladntext"/>
                    <w:ind w:left="108" w:right="259"/>
                    <w:rPr>
                      <w:rFonts w:ascii="Arial" w:hAnsi="Arial" w:cs="Arial"/>
                      <w:b/>
                      <w:i/>
                      <w:szCs w:val="22"/>
                    </w:rPr>
                  </w:pPr>
                </w:p>
                <w:p w:rsidR="00736464" w:rsidRPr="00673518" w:rsidRDefault="00736464" w:rsidP="00736464">
                  <w:pPr>
                    <w:pStyle w:val="Zkladntext"/>
                    <w:ind w:left="108" w:right="259"/>
                    <w:rPr>
                      <w:rFonts w:ascii="Arial" w:hAnsi="Arial" w:cs="Arial"/>
                      <w:b/>
                      <w:i/>
                      <w:szCs w:val="22"/>
                    </w:rPr>
                  </w:pPr>
                  <w:r w:rsidRPr="00673518">
                    <w:rPr>
                      <w:rFonts w:ascii="Arial" w:hAnsi="Arial" w:cs="Arial"/>
                      <w:b/>
                      <w:i/>
                      <w:szCs w:val="22"/>
                    </w:rPr>
                    <w:t>6.4 Odkaz na jiné oddíly</w:t>
                  </w:r>
                </w:p>
                <w:p w:rsidR="009F62AB" w:rsidRPr="00673518" w:rsidRDefault="00736464" w:rsidP="00736464">
                  <w:pPr>
                    <w:pStyle w:val="Zkladntext"/>
                    <w:ind w:left="108" w:right="259"/>
                  </w:pPr>
                  <w:r w:rsidRPr="00673518">
                    <w:rPr>
                      <w:szCs w:val="22"/>
                    </w:rPr>
                    <w:t>Bezpečná manipulace: viz oddíl 7. Osobní ochranné prostředky: viz oddíl 8. Likvidace: viz oddíl 13.</w:t>
                  </w:r>
                </w:p>
              </w:txbxContent>
            </v:textbox>
            <w10:wrap type="topAndBottom" anchorx="page"/>
          </v:shape>
        </w:pict>
      </w:r>
    </w:p>
    <w:p w:rsidR="009F62AB" w:rsidRDefault="009F62AB">
      <w:pPr>
        <w:pStyle w:val="Zkladntext"/>
        <w:rPr>
          <w:sz w:val="20"/>
        </w:rPr>
      </w:pPr>
    </w:p>
    <w:p w:rsidR="009F62AB" w:rsidRDefault="005D4CB0">
      <w:pPr>
        <w:pStyle w:val="Zkladntext"/>
        <w:spacing w:before="8"/>
        <w:rPr>
          <w:sz w:val="18"/>
        </w:rPr>
      </w:pPr>
      <w:r>
        <w:pict>
          <v:group id="_x0000_s1117" style="position:absolute;margin-left:84pt;margin-top:12.95pt;width:444.2pt;height:73.45pt;z-index:-251644928;mso-wrap-distance-left:0;mso-wrap-distance-right:0;mso-position-horizontal-relative:page" coordorigin="1680,259" coordsize="8884,1469">
            <v:line id="_x0000_s1121" style="position:absolute" from="1690,264" to="10555,264" strokeweight=".48pt"/>
            <v:line id="_x0000_s1120" style="position:absolute" from="1685,259" to="1685,1728" strokeweight=".48pt"/>
            <v:line id="_x0000_s1119" style="position:absolute" from="10560,259" to="10560,1728" strokeweight=".48pt"/>
            <v:shape id="_x0000_s1118" type="#_x0000_t202" style="position:absolute;left:1680;top:259;width:8884;height:1469" filled="f" stroked="f">
              <v:textbox style="mso-next-textbox:#_x0000_s1118" inset="0,0,0,0">
                <w:txbxContent>
                  <w:p w:rsidR="00673518" w:rsidRPr="00673518" w:rsidRDefault="00673518" w:rsidP="00673518">
                    <w:pPr>
                      <w:ind w:left="117" w:right="120"/>
                      <w:jc w:val="both"/>
                      <w:rPr>
                        <w:rFonts w:ascii="Arial" w:hAnsi="Arial" w:cs="Arial"/>
                        <w:b/>
                        <w:i/>
                        <w:sz w:val="24"/>
                      </w:rPr>
                    </w:pPr>
                    <w:r w:rsidRPr="00673518">
                      <w:rPr>
                        <w:rFonts w:ascii="Arial" w:hAnsi="Arial" w:cs="Arial"/>
                        <w:b/>
                        <w:i/>
                        <w:sz w:val="24"/>
                      </w:rPr>
                      <w:t>ODDÍL 7: Zacházení a skladování</w:t>
                    </w:r>
                  </w:p>
                  <w:p w:rsidR="00673518" w:rsidRPr="00673518" w:rsidRDefault="00673518" w:rsidP="00673518">
                    <w:pPr>
                      <w:ind w:left="117" w:right="120"/>
                      <w:jc w:val="both"/>
                      <w:rPr>
                        <w:b/>
                        <w:sz w:val="24"/>
                      </w:rPr>
                    </w:pPr>
                    <w:r w:rsidRPr="00673518">
                      <w:rPr>
                        <w:b/>
                        <w:sz w:val="24"/>
                      </w:rPr>
                      <w:t>7.1 Opatření pro bezpečné zacházení</w:t>
                    </w:r>
                  </w:p>
                  <w:p w:rsidR="009F62AB" w:rsidRPr="00673518" w:rsidRDefault="00673518" w:rsidP="00673518">
                    <w:pPr>
                      <w:ind w:left="117" w:right="120"/>
                      <w:jc w:val="both"/>
                      <w:rPr>
                        <w:sz w:val="24"/>
                      </w:rPr>
                    </w:pPr>
                    <w:r w:rsidRPr="00673518">
                      <w:rPr>
                        <w:sz w:val="24"/>
                      </w:rPr>
                      <w:t>Na pracovišti nejezte, nepijte a nekuřte. Dodaný produkt: zabraňte kontaktu s očima. Zabraňte dlouhodobému kontaktu s pokožkou. Je nepravděpodobné, že by prášek za normálních podmínek manipulace představoval nebezpečí prachu.</w:t>
                    </w:r>
                  </w:p>
                </w:txbxContent>
              </v:textbox>
            </v:shape>
            <w10:wrap type="topAndBottom" anchorx="page"/>
          </v:group>
        </w:pict>
      </w:r>
    </w:p>
    <w:p w:rsidR="009F62AB" w:rsidRDefault="009F62AB">
      <w:pPr>
        <w:rPr>
          <w:sz w:val="18"/>
        </w:rPr>
        <w:sectPr w:rsidR="009F62AB">
          <w:pgSz w:w="12250" w:h="15850"/>
          <w:pgMar w:top="2120" w:right="1560" w:bottom="1140" w:left="1580" w:header="738" w:footer="957" w:gutter="0"/>
          <w:cols w:space="708"/>
        </w:sectPr>
      </w:pPr>
    </w:p>
    <w:p w:rsidR="009F62AB" w:rsidRDefault="005D4CB0">
      <w:pPr>
        <w:pStyle w:val="Zkladntext"/>
        <w:ind w:left="100"/>
        <w:rPr>
          <w:sz w:val="20"/>
        </w:rPr>
      </w:pPr>
      <w:r>
        <w:rPr>
          <w:sz w:val="20"/>
        </w:rPr>
      </w:r>
      <w:r>
        <w:rPr>
          <w:sz w:val="20"/>
        </w:rPr>
        <w:pict>
          <v:group id="_x0000_s1088" style="width:444.2pt;height:179.8pt;mso-position-horizontal-relative:char;mso-position-vertical-relative:line" coordsize="8884,3596">
            <v:line id="_x0000_s1116" style="position:absolute" from="5,0" to="5,276" strokeweight=".48pt"/>
            <v:line id="_x0000_s1115" style="position:absolute" from="5,276" to="5,552" strokeweight=".48pt"/>
            <v:line id="_x0000_s1114" style="position:absolute" from="5,552" to="5,828" strokeweight=".48pt"/>
            <v:line id="_x0000_s1113" style="position:absolute" from="5,828" to="5,1104" strokeweight=".48pt"/>
            <v:line id="_x0000_s1112" style="position:absolute" from="5,1104" to="5,1368" strokeweight=".48pt"/>
            <v:line id="_x0000_s1111" style="position:absolute" from="5,1368" to="5,1644" strokeweight=".48pt"/>
            <v:line id="_x0000_s1110" style="position:absolute" from="5,1644" to="5,1920" strokeweight=".48pt"/>
            <v:line id="_x0000_s1109" style="position:absolute" from="5,1920" to="5,2196" strokeweight=".48pt"/>
            <v:line id="_x0000_s1108" style="position:absolute" from="5,2196" to="5,2472" strokeweight=".48pt"/>
            <v:line id="_x0000_s1107" style="position:absolute" from="5,2472" to="5,2748" strokeweight=".48pt"/>
            <v:line id="_x0000_s1106" style="position:absolute" from="5,2748" to="5,3025" strokeweight=".48pt"/>
            <v:line id="_x0000_s1105" style="position:absolute" from="5,3025" to="5,3289" strokeweight=".48pt"/>
            <v:line id="_x0000_s1104" style="position:absolute" from="10,3591" to="8874,3591" strokeweight=".48pt"/>
            <v:line id="_x0000_s1103" style="position:absolute" from="5,3289" to="5,3596" strokeweight=".48pt"/>
            <v:line id="_x0000_s1102" style="position:absolute" from="8879,0" to="8879,276" strokeweight=".48pt"/>
            <v:line id="_x0000_s1101" style="position:absolute" from="8879,276" to="8879,552" strokeweight=".48pt"/>
            <v:line id="_x0000_s1100" style="position:absolute" from="8879,552" to="8879,828" strokeweight=".48pt"/>
            <v:line id="_x0000_s1099" style="position:absolute" from="8879,828" to="8879,1104" strokeweight=".48pt"/>
            <v:line id="_x0000_s1098" style="position:absolute" from="8879,1104" to="8879,1368" strokeweight=".48pt"/>
            <v:line id="_x0000_s1097" style="position:absolute" from="8879,1368" to="8879,1644" strokeweight=".48pt"/>
            <v:line id="_x0000_s1096" style="position:absolute" from="8879,1644" to="8879,1920" strokeweight=".48pt"/>
            <v:line id="_x0000_s1095" style="position:absolute" from="8879,1920" to="8879,2196" strokeweight=".48pt"/>
            <v:line id="_x0000_s1094" style="position:absolute" from="8879,2196" to="8879,2472" strokeweight=".48pt"/>
            <v:line id="_x0000_s1093" style="position:absolute" from="8879,2472" to="8879,2748" strokeweight=".48pt"/>
            <v:line id="_x0000_s1092" style="position:absolute" from="8879,2748" to="8879,3025" strokeweight=".48pt"/>
            <v:line id="_x0000_s1091" style="position:absolute" from="8879,3025" to="8879,3289" strokeweight=".48pt"/>
            <v:line id="_x0000_s1090" style="position:absolute" from="8879,3289" to="8879,3596" strokeweight=".48pt"/>
            <v:shape id="_x0000_s1089" type="#_x0000_t202" style="position:absolute;width:8884;height:3596" filled="f" stroked="f">
              <v:textbox style="mso-next-textbox:#_x0000_s1089" inset="0,0,0,0">
                <w:txbxContent>
                  <w:p w:rsidR="00673518" w:rsidRPr="00673518" w:rsidRDefault="00673518" w:rsidP="00673518">
                    <w:pPr>
                      <w:ind w:left="117"/>
                      <w:rPr>
                        <w:sz w:val="24"/>
                      </w:rPr>
                    </w:pPr>
                    <w:r w:rsidRPr="00673518">
                      <w:rPr>
                        <w:sz w:val="24"/>
                      </w:rPr>
                      <w:t>Dentální pryskyřice se zpracovávají ve spojení s reaktivními monomery, což může vyžadovat použití většího množství OOP, než je nutné pro samotný polymer. Viz sekce 8 a 11. Pracujte na dobře větraném místě. Zabraňte tvorbě prachu. Udržujte prášek mimo zdroje vznícení, žádný otevřený oheň.</w:t>
                    </w:r>
                  </w:p>
                  <w:p w:rsidR="00673518" w:rsidRPr="00673518" w:rsidRDefault="00673518" w:rsidP="00673518">
                    <w:pPr>
                      <w:ind w:left="117"/>
                      <w:rPr>
                        <w:sz w:val="24"/>
                      </w:rPr>
                    </w:pPr>
                  </w:p>
                  <w:p w:rsidR="00673518" w:rsidRPr="00673518" w:rsidRDefault="00673518" w:rsidP="00673518">
                    <w:pPr>
                      <w:ind w:left="117"/>
                      <w:rPr>
                        <w:sz w:val="24"/>
                      </w:rPr>
                    </w:pPr>
                    <w:r w:rsidRPr="00673518">
                      <w:rPr>
                        <w:sz w:val="24"/>
                      </w:rPr>
                      <w:t>7.2 Podmínky pro bezpečné skladování látek a směsí včetně neslučitelných látek a směsí</w:t>
                    </w:r>
                  </w:p>
                  <w:p w:rsidR="00673518" w:rsidRPr="00673518" w:rsidRDefault="00673518" w:rsidP="00673518">
                    <w:pPr>
                      <w:ind w:left="117"/>
                      <w:rPr>
                        <w:sz w:val="24"/>
                      </w:rPr>
                    </w:pPr>
                    <w:r w:rsidRPr="00673518">
                      <w:rPr>
                        <w:sz w:val="24"/>
                      </w:rPr>
                      <w:t>Uchovávejte obal na čistém, chladném a suchém místě mimo zdroje tepla. Přirozené větrání je dostatečné. Skladovací teplota: okolní teplota.</w:t>
                    </w:r>
                  </w:p>
                  <w:p w:rsidR="00673518" w:rsidRPr="00673518" w:rsidRDefault="00673518" w:rsidP="00673518">
                    <w:pPr>
                      <w:ind w:left="117"/>
                      <w:rPr>
                        <w:sz w:val="24"/>
                      </w:rPr>
                    </w:pPr>
                  </w:p>
                  <w:p w:rsidR="00673518" w:rsidRPr="00673518" w:rsidRDefault="00673518" w:rsidP="00673518">
                    <w:pPr>
                      <w:ind w:left="117"/>
                      <w:rPr>
                        <w:sz w:val="24"/>
                      </w:rPr>
                    </w:pPr>
                    <w:r w:rsidRPr="00673518">
                      <w:rPr>
                        <w:sz w:val="24"/>
                      </w:rPr>
                      <w:t>Neslučitelné materiály: Polymer obsahuje zbytkový benzoylperoxid. Ten může reagovat s oxidačním činidlem, redukčními činidly, kyselinami, zásadami a aminy, což vede k rozkladu.</w:t>
                    </w:r>
                  </w:p>
                  <w:p w:rsidR="00673518" w:rsidRPr="00673518" w:rsidRDefault="00673518" w:rsidP="00673518">
                    <w:pPr>
                      <w:ind w:left="117"/>
                      <w:rPr>
                        <w:sz w:val="24"/>
                      </w:rPr>
                    </w:pPr>
                  </w:p>
                  <w:p w:rsidR="00673518" w:rsidRPr="00673518" w:rsidRDefault="00673518" w:rsidP="00673518">
                    <w:pPr>
                      <w:ind w:left="117"/>
                      <w:rPr>
                        <w:sz w:val="24"/>
                      </w:rPr>
                    </w:pPr>
                    <w:r w:rsidRPr="00673518">
                      <w:rPr>
                        <w:sz w:val="24"/>
                      </w:rPr>
                      <w:t>7.3. Specifické konečné použití</w:t>
                    </w:r>
                  </w:p>
                  <w:p w:rsidR="009F62AB" w:rsidRDefault="00673518" w:rsidP="00673518">
                    <w:pPr>
                      <w:ind w:left="117"/>
                      <w:rPr>
                        <w:sz w:val="24"/>
                      </w:rPr>
                    </w:pPr>
                    <w:r w:rsidRPr="00673518">
                      <w:rPr>
                        <w:sz w:val="24"/>
                      </w:rPr>
                      <w:t>Není určeno pro tepelné zpracování.</w:t>
                    </w:r>
                  </w:p>
                </w:txbxContent>
              </v:textbox>
            </v:shape>
            <w10:anchorlock/>
          </v:group>
        </w:pict>
      </w:r>
    </w:p>
    <w:p w:rsidR="009F62AB" w:rsidRDefault="009F62AB">
      <w:pPr>
        <w:pStyle w:val="Zkladntext"/>
        <w:rPr>
          <w:sz w:val="20"/>
        </w:rPr>
      </w:pPr>
    </w:p>
    <w:p w:rsidR="009F62AB" w:rsidRDefault="009F62AB">
      <w:pPr>
        <w:pStyle w:val="Zkladntext"/>
        <w:spacing w:before="8"/>
        <w:rPr>
          <w:sz w:val="15"/>
        </w:rPr>
      </w:pPr>
    </w:p>
    <w:p w:rsidR="009F62AB" w:rsidRDefault="005D4CB0">
      <w:pPr>
        <w:pStyle w:val="Nadpis2"/>
        <w:spacing w:before="92"/>
        <w:ind w:left="218"/>
      </w:pPr>
      <w:r>
        <w:pict>
          <v:group id="_x0000_s1075" style="position:absolute;left:0;text-align:left;margin-left:84pt;margin-top:3.15pt;width:444.2pt;height:390.8pt;z-index:-252505088;mso-position-horizontal-relative:page" coordorigin="1680,63" coordsize="8884,7816">
            <v:line id="_x0000_s1087" style="position:absolute" from="1690,68" to="10555,68" strokeweight=".48pt"/>
            <v:line id="_x0000_s1086" style="position:absolute" from="1685,63" to="1685,7878" strokeweight=".48pt"/>
            <v:line id="_x0000_s1085" style="position:absolute" from="10560,63" to="10560,5394" strokeweight=".48pt"/>
            <v:line id="_x0000_s1084" style="position:absolute" from="10560,5394" to="10560,5670" strokeweight=".48pt"/>
            <v:line id="_x0000_s1083" style="position:absolute" from="10560,5670" to="10560,5946" strokeweight=".48pt"/>
            <v:line id="_x0000_s1082" style="position:absolute" from="10560,5946" to="10560,6222" strokeweight=".48pt"/>
            <v:line id="_x0000_s1081" style="position:absolute" from="10560,6222" to="10560,6498" strokeweight=".48pt"/>
            <v:line id="_x0000_s1080" style="position:absolute" from="10560,6498" to="10560,6774" strokeweight=".48pt"/>
            <v:line id="_x0000_s1079" style="position:absolute" from="10560,6774" to="10560,7050" strokeweight=".48pt"/>
            <v:line id="_x0000_s1078" style="position:absolute" from="10560,7050" to="10560,7326" strokeweight=".48pt"/>
            <v:line id="_x0000_s1077" style="position:absolute" from="10560,7326" to="10560,7602" strokeweight=".48pt"/>
            <v:line id="_x0000_s1076" style="position:absolute" from="10560,7602" to="10560,7878" strokeweight=".48pt"/>
            <w10:wrap anchorx="page"/>
          </v:group>
        </w:pict>
      </w:r>
      <w:r w:rsidR="0001483F">
        <w:t>ODDÍL 8: Omezování expozice/osobní ochranné prostředky</w:t>
      </w:r>
    </w:p>
    <w:p w:rsidR="009F62AB" w:rsidRDefault="0001483F">
      <w:pPr>
        <w:pStyle w:val="Odstavecseseznamem"/>
        <w:numPr>
          <w:ilvl w:val="1"/>
          <w:numId w:val="4"/>
        </w:numPr>
        <w:tabs>
          <w:tab w:val="left" w:pos="579"/>
        </w:tabs>
        <w:ind w:hanging="361"/>
        <w:rPr>
          <w:b/>
          <w:sz w:val="24"/>
        </w:rPr>
      </w:pPr>
      <w:r>
        <w:rPr>
          <w:b/>
          <w:sz w:val="24"/>
        </w:rPr>
        <w:t>Řízení</w:t>
      </w:r>
      <w:r>
        <w:rPr>
          <w:b/>
          <w:spacing w:val="-1"/>
          <w:sz w:val="24"/>
        </w:rPr>
        <w:t xml:space="preserve"> </w:t>
      </w:r>
      <w:r>
        <w:rPr>
          <w:b/>
          <w:sz w:val="24"/>
        </w:rPr>
        <w:t>parametry</w:t>
      </w:r>
    </w:p>
    <w:p w:rsidR="009F62AB" w:rsidRDefault="0001483F">
      <w:pPr>
        <w:ind w:left="218"/>
        <w:rPr>
          <w:i/>
          <w:sz w:val="24"/>
        </w:rPr>
      </w:pPr>
      <w:r>
        <w:rPr>
          <w:i/>
          <w:sz w:val="24"/>
        </w:rPr>
        <w:t>Kontrolní parametry</w:t>
      </w:r>
    </w:p>
    <w:p w:rsidR="009F62AB" w:rsidRDefault="0001483F">
      <w:pPr>
        <w:pStyle w:val="Zkladntext"/>
        <w:ind w:left="218" w:right="1353"/>
      </w:pPr>
      <w:r>
        <w:t xml:space="preserve">Je třeba dodržovat aktuálně platné národní limitní hodnoty expozice pro </w:t>
      </w:r>
      <w:proofErr w:type="spellStart"/>
      <w:r>
        <w:t>dibenzoylperoxid</w:t>
      </w:r>
      <w:proofErr w:type="spellEnd"/>
      <w:r>
        <w:t xml:space="preserve">, </w:t>
      </w:r>
      <w:proofErr w:type="spellStart"/>
      <w:r>
        <w:t>methylmetakrylát</w:t>
      </w:r>
      <w:proofErr w:type="spellEnd"/>
      <w:r>
        <w:t xml:space="preserve"> a prach.</w:t>
      </w:r>
    </w:p>
    <w:p w:rsidR="009F62AB" w:rsidRDefault="009F62AB">
      <w:pPr>
        <w:pStyle w:val="Zkladntext"/>
        <w:spacing w:before="2"/>
        <w:rPr>
          <w:sz w:val="16"/>
        </w:rPr>
      </w:pPr>
    </w:p>
    <w:p w:rsidR="009F62AB" w:rsidRDefault="0001483F">
      <w:pPr>
        <w:pStyle w:val="Nadpis1"/>
        <w:spacing w:before="90"/>
        <w:ind w:left="218" w:firstLine="0"/>
        <w:jc w:val="both"/>
      </w:pPr>
      <w:r>
        <w:t>Látka: LTEL mg/m3 (8h TWA)</w:t>
      </w:r>
    </w:p>
    <w:p w:rsidR="009F62AB" w:rsidRDefault="0001483F">
      <w:pPr>
        <w:pStyle w:val="Zkladntext"/>
        <w:ind w:left="218"/>
        <w:jc w:val="both"/>
      </w:pPr>
      <w:proofErr w:type="spellStart"/>
      <w:r>
        <w:t>Dibenzoylperoxid</w:t>
      </w:r>
      <w:proofErr w:type="spellEnd"/>
      <w:r>
        <w:t xml:space="preserve"> 5</w:t>
      </w:r>
    </w:p>
    <w:p w:rsidR="009F62AB" w:rsidRDefault="0001483F">
      <w:pPr>
        <w:pStyle w:val="Zkladntext"/>
        <w:ind w:left="218" w:right="6566"/>
        <w:jc w:val="both"/>
      </w:pPr>
      <w:proofErr w:type="spellStart"/>
      <w:r>
        <w:t>Methylmetakrylát</w:t>
      </w:r>
      <w:proofErr w:type="spellEnd"/>
      <w:r>
        <w:t xml:space="preserve"> 208 Prach (</w:t>
      </w:r>
      <w:proofErr w:type="spellStart"/>
      <w:r>
        <w:t>vdechovatelný</w:t>
      </w:r>
      <w:proofErr w:type="spellEnd"/>
      <w:r>
        <w:t xml:space="preserve"> prach) 10 Prach (dýchatelný prach) 4</w:t>
      </w:r>
    </w:p>
    <w:p w:rsidR="009F62AB" w:rsidRDefault="009F62AB">
      <w:pPr>
        <w:pStyle w:val="Zkladntext"/>
        <w:spacing w:before="2"/>
        <w:rPr>
          <w:sz w:val="16"/>
        </w:rPr>
      </w:pPr>
    </w:p>
    <w:p w:rsidR="009F62AB" w:rsidRDefault="0001483F">
      <w:pPr>
        <w:pStyle w:val="Nadpis1"/>
        <w:numPr>
          <w:ilvl w:val="1"/>
          <w:numId w:val="4"/>
        </w:numPr>
        <w:tabs>
          <w:tab w:val="left" w:pos="579"/>
        </w:tabs>
        <w:spacing w:before="90"/>
        <w:ind w:hanging="361"/>
      </w:pPr>
      <w:r>
        <w:t>Vystavení</w:t>
      </w:r>
      <w:r>
        <w:rPr>
          <w:spacing w:val="-2"/>
        </w:rPr>
        <w:t xml:space="preserve"> </w:t>
      </w:r>
      <w:r>
        <w:t>řízení</w:t>
      </w:r>
    </w:p>
    <w:p w:rsidR="009F62AB" w:rsidRPr="00D13636" w:rsidRDefault="0001483F">
      <w:pPr>
        <w:pStyle w:val="Nadpis2"/>
        <w:spacing w:before="0"/>
        <w:ind w:left="218"/>
        <w:rPr>
          <w:rFonts w:ascii="Times New Roman" w:hAnsi="Times New Roman" w:cs="Times New Roman"/>
        </w:rPr>
      </w:pPr>
      <w:r w:rsidRPr="00D13636">
        <w:rPr>
          <w:rFonts w:ascii="Times New Roman" w:hAnsi="Times New Roman" w:cs="Times New Roman"/>
        </w:rPr>
        <w:t>Vhodné technické kontroly:</w:t>
      </w:r>
    </w:p>
    <w:p w:rsidR="009F62AB" w:rsidRDefault="0001483F">
      <w:pPr>
        <w:pStyle w:val="Zkladntext"/>
        <w:ind w:left="218" w:right="495"/>
      </w:pPr>
      <w:r>
        <w:t>Na pracovišti nejezte, nepijte a nekuřte. Zajistěte dostatečné větrání, včetně vhodného místního odsávání, aby se zajistilo, že nebude překročen limit expozice na pracovišti. Je třeba vzít v úvahu pracovní postup a potenciální rozsah expozice, protože mohou rozhodnout, zda je vyžadována vyšší úroveň ochrany. Následující informace jsou uvedeny jako obecné vodítko.</w:t>
      </w:r>
    </w:p>
    <w:p w:rsidR="009F62AB" w:rsidRDefault="009F62AB">
      <w:pPr>
        <w:pStyle w:val="Zkladntext"/>
        <w:spacing w:before="3"/>
        <w:rPr>
          <w:sz w:val="16"/>
        </w:rPr>
      </w:pPr>
    </w:p>
    <w:p w:rsidR="009F62AB" w:rsidRDefault="0001483F">
      <w:pPr>
        <w:pStyle w:val="Nadpis2"/>
        <w:spacing w:before="90"/>
        <w:ind w:left="218"/>
        <w:rPr>
          <w:rFonts w:ascii="Times New Roman"/>
        </w:rPr>
      </w:pPr>
      <w:r>
        <w:rPr>
          <w:rFonts w:ascii="Times New Roman"/>
        </w:rPr>
        <w:t>Osobn</w:t>
      </w:r>
      <w:r>
        <w:rPr>
          <w:rFonts w:ascii="Times New Roman"/>
        </w:rPr>
        <w:t>í</w:t>
      </w:r>
      <w:r>
        <w:rPr>
          <w:rFonts w:ascii="Times New Roman"/>
        </w:rPr>
        <w:t xml:space="preserve"> ochrana</w:t>
      </w:r>
    </w:p>
    <w:p w:rsidR="009F62AB" w:rsidRDefault="00D13636">
      <w:pPr>
        <w:pStyle w:val="Zkladntext"/>
        <w:ind w:left="218" w:right="393"/>
      </w:pPr>
      <w:r>
        <w:rPr>
          <w:i/>
        </w:rPr>
        <w:t>Ochrana dýchacích cest</w:t>
      </w:r>
      <w:r w:rsidR="0001483F">
        <w:t>: V případě tvorby prachu; Místní odsávání nebo vhodná maska s filtrem pro malé prachové částice, jako je filtr P3 nebo FFP3 (EN 143 nebo EN 149). V nepravděpodobném případě tvorby zvláště vysokých úrovní prachu může být vhodný samostatný dýchací přístroj.</w:t>
      </w:r>
    </w:p>
    <w:p w:rsidR="009F62AB" w:rsidRDefault="009F62AB">
      <w:pPr>
        <w:pStyle w:val="Zkladntext"/>
        <w:spacing w:before="2"/>
        <w:rPr>
          <w:sz w:val="16"/>
        </w:rPr>
      </w:pPr>
    </w:p>
    <w:p w:rsidR="009F62AB" w:rsidRDefault="0001483F">
      <w:pPr>
        <w:pStyle w:val="Zkladntext"/>
        <w:spacing w:before="90"/>
        <w:ind w:left="218" w:right="354"/>
      </w:pPr>
      <w:r>
        <w:rPr>
          <w:i/>
        </w:rPr>
        <w:t xml:space="preserve">Ochrana rukou: </w:t>
      </w:r>
      <w:r>
        <w:t>Používejte vhodné rukavice. Vhodné jsou rukavice z butylové a nitrilové pryže. Latexové chirurgické rukavice poskytují malou ochranu.</w:t>
      </w:r>
    </w:p>
    <w:p w:rsidR="009F62AB" w:rsidRDefault="009F62AB">
      <w:pPr>
        <w:sectPr w:rsidR="009F62AB">
          <w:pgSz w:w="12250" w:h="15850"/>
          <w:pgMar w:top="2120" w:right="1560" w:bottom="1140" w:left="1580" w:header="738" w:footer="957" w:gutter="0"/>
          <w:cols w:space="708"/>
        </w:sectPr>
      </w:pPr>
    </w:p>
    <w:p w:rsidR="009F62AB" w:rsidRDefault="005D4CB0">
      <w:pPr>
        <w:pStyle w:val="Zkladntext"/>
        <w:ind w:left="100"/>
        <w:rPr>
          <w:sz w:val="20"/>
        </w:rPr>
      </w:pPr>
      <w:r>
        <w:rPr>
          <w:sz w:val="20"/>
        </w:rPr>
      </w:r>
      <w:r>
        <w:rPr>
          <w:sz w:val="20"/>
        </w:rPr>
        <w:pict>
          <v:group id="_x0000_s1068" style="width:444.2pt;height:29.2pt;mso-position-horizontal-relative:char;mso-position-vertical-relative:line" coordsize="8884,584">
            <v:line id="_x0000_s1074" style="position:absolute" from="5,0" to="5,276" strokeweight=".48pt"/>
            <v:line id="_x0000_s1073" style="position:absolute" from="10,578" to="8874,578" strokeweight=".48pt"/>
            <v:line id="_x0000_s1072" style="position:absolute" from="5,276" to="5,583" strokeweight=".48pt"/>
            <v:line id="_x0000_s1071" style="position:absolute" from="8879,0" to="8879,276" strokeweight=".48pt"/>
            <v:line id="_x0000_s1070" style="position:absolute" from="8879,276" to="8879,583" strokeweight=".48pt"/>
            <v:shape id="_x0000_s1069" type="#_x0000_t202" style="position:absolute;width:8884;height:584" filled="f" stroked="f">
              <v:textbox inset="0,0,0,0">
                <w:txbxContent>
                  <w:p w:rsidR="009F62AB" w:rsidRDefault="009F62AB">
                    <w:pPr>
                      <w:spacing w:before="10"/>
                      <w:rPr>
                        <w:sz w:val="23"/>
                      </w:rPr>
                    </w:pPr>
                  </w:p>
                  <w:p w:rsidR="009F62AB" w:rsidRDefault="00D13636" w:rsidP="00D13636">
                    <w:pPr>
                      <w:ind w:left="117"/>
                      <w:rPr>
                        <w:sz w:val="24"/>
                      </w:rPr>
                    </w:pPr>
                    <w:r w:rsidRPr="00D13636">
                      <w:rPr>
                        <w:i/>
                        <w:sz w:val="24"/>
                      </w:rPr>
                      <w:t>Ochrana očí/obličeje: Používejte ochranu očí/obličeje. Ochranné brýle/</w:t>
                    </w:r>
                    <w:proofErr w:type="spellStart"/>
                    <w:r w:rsidRPr="00D13636">
                      <w:rPr>
                        <w:i/>
                        <w:sz w:val="24"/>
                      </w:rPr>
                      <w:t>celoobličejový</w:t>
                    </w:r>
                    <w:proofErr w:type="spellEnd"/>
                    <w:r w:rsidRPr="00D13636">
                      <w:rPr>
                        <w:i/>
                        <w:sz w:val="24"/>
                      </w:rPr>
                      <w:t xml:space="preserve"> štít.</w:t>
                    </w:r>
                  </w:p>
                </w:txbxContent>
              </v:textbox>
            </v:shape>
            <w10:anchorlock/>
          </v:group>
        </w:pict>
      </w:r>
    </w:p>
    <w:p w:rsidR="009F62AB" w:rsidRDefault="009F62AB">
      <w:pPr>
        <w:pStyle w:val="Zkladntext"/>
        <w:rPr>
          <w:sz w:val="20"/>
        </w:rPr>
      </w:pPr>
    </w:p>
    <w:p w:rsidR="009F62AB" w:rsidRDefault="009F62AB">
      <w:pPr>
        <w:pStyle w:val="Zkladntext"/>
        <w:spacing w:before="4"/>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448"/>
      </w:tblGrid>
      <w:tr w:rsidR="009F62AB">
        <w:trPr>
          <w:trHeight w:val="625"/>
        </w:trPr>
        <w:tc>
          <w:tcPr>
            <w:tcW w:w="8843" w:type="dxa"/>
            <w:gridSpan w:val="2"/>
            <w:tcBorders>
              <w:bottom w:val="single" w:sz="8" w:space="0" w:color="000000"/>
            </w:tcBorders>
          </w:tcPr>
          <w:p w:rsidR="00D13636" w:rsidRPr="00D13636" w:rsidRDefault="00D13636">
            <w:pPr>
              <w:pStyle w:val="TableParagraph"/>
              <w:spacing w:before="58" w:line="252" w:lineRule="exact"/>
              <w:rPr>
                <w:rFonts w:ascii="Arial" w:hAnsi="Arial" w:cs="Arial"/>
                <w:b/>
                <w:i/>
                <w:sz w:val="24"/>
              </w:rPr>
            </w:pPr>
            <w:r w:rsidRPr="00D13636">
              <w:rPr>
                <w:rFonts w:ascii="Arial" w:hAnsi="Arial" w:cs="Arial"/>
                <w:b/>
                <w:i/>
                <w:sz w:val="24"/>
              </w:rPr>
              <w:t>ODDÍL 9: Fyzikální a chemické vlastnosti</w:t>
            </w:r>
          </w:p>
          <w:p w:rsidR="009F62AB" w:rsidRDefault="0001483F">
            <w:pPr>
              <w:pStyle w:val="TableParagraph"/>
              <w:spacing w:before="58" w:line="252" w:lineRule="exact"/>
              <w:rPr>
                <w:b/>
              </w:rPr>
            </w:pPr>
            <w:r>
              <w:rPr>
                <w:b/>
              </w:rPr>
              <w:t>9.1 Informace o základních fyzikálních a chemických vlastnostech</w:t>
            </w:r>
          </w:p>
        </w:tc>
      </w:tr>
      <w:tr w:rsidR="009F62AB">
        <w:trPr>
          <w:trHeight w:val="275"/>
        </w:trPr>
        <w:tc>
          <w:tcPr>
            <w:tcW w:w="4395" w:type="dxa"/>
            <w:tcBorders>
              <w:top w:val="single" w:sz="8" w:space="0" w:color="000000"/>
            </w:tcBorders>
          </w:tcPr>
          <w:p w:rsidR="009F62AB" w:rsidRDefault="0001483F">
            <w:pPr>
              <w:pStyle w:val="TableParagraph"/>
              <w:spacing w:line="255" w:lineRule="exact"/>
              <w:rPr>
                <w:b/>
                <w:sz w:val="24"/>
              </w:rPr>
            </w:pPr>
            <w:r>
              <w:rPr>
                <w:b/>
                <w:sz w:val="24"/>
              </w:rPr>
              <w:t>Formulář</w:t>
            </w:r>
          </w:p>
        </w:tc>
        <w:tc>
          <w:tcPr>
            <w:tcW w:w="4448" w:type="dxa"/>
            <w:tcBorders>
              <w:top w:val="single" w:sz="8" w:space="0" w:color="000000"/>
            </w:tcBorders>
          </w:tcPr>
          <w:p w:rsidR="009F62AB" w:rsidRDefault="0001483F">
            <w:pPr>
              <w:pStyle w:val="TableParagraph"/>
              <w:spacing w:line="255" w:lineRule="exact"/>
              <w:rPr>
                <w:sz w:val="24"/>
              </w:rPr>
            </w:pPr>
            <w:r>
              <w:rPr>
                <w:sz w:val="24"/>
              </w:rPr>
              <w:t>Jemné korálky</w:t>
            </w:r>
          </w:p>
        </w:tc>
      </w:tr>
      <w:tr w:rsidR="009F62AB">
        <w:trPr>
          <w:trHeight w:val="275"/>
        </w:trPr>
        <w:tc>
          <w:tcPr>
            <w:tcW w:w="4395" w:type="dxa"/>
          </w:tcPr>
          <w:p w:rsidR="009F62AB" w:rsidRDefault="0001483F">
            <w:pPr>
              <w:pStyle w:val="TableParagraph"/>
              <w:spacing w:line="256" w:lineRule="exact"/>
              <w:rPr>
                <w:b/>
                <w:sz w:val="24"/>
              </w:rPr>
            </w:pPr>
            <w:r>
              <w:rPr>
                <w:b/>
                <w:sz w:val="24"/>
              </w:rPr>
              <w:t>Barva</w:t>
            </w:r>
          </w:p>
        </w:tc>
        <w:tc>
          <w:tcPr>
            <w:tcW w:w="4448" w:type="dxa"/>
          </w:tcPr>
          <w:p w:rsidR="009F62AB" w:rsidRDefault="0001483F">
            <w:pPr>
              <w:pStyle w:val="TableParagraph"/>
              <w:spacing w:line="256" w:lineRule="exact"/>
              <w:rPr>
                <w:sz w:val="24"/>
              </w:rPr>
            </w:pPr>
            <w:r>
              <w:rPr>
                <w:sz w:val="24"/>
              </w:rPr>
              <w:t>barevný</w:t>
            </w:r>
          </w:p>
        </w:tc>
      </w:tr>
      <w:tr w:rsidR="009F62AB" w:rsidTr="00D13636">
        <w:trPr>
          <w:trHeight w:val="368"/>
        </w:trPr>
        <w:tc>
          <w:tcPr>
            <w:tcW w:w="4395" w:type="dxa"/>
          </w:tcPr>
          <w:p w:rsidR="009F62AB" w:rsidRDefault="0001483F">
            <w:pPr>
              <w:pStyle w:val="TableParagraph"/>
              <w:spacing w:before="1" w:line="257" w:lineRule="exact"/>
              <w:rPr>
                <w:b/>
                <w:sz w:val="24"/>
              </w:rPr>
            </w:pPr>
            <w:r>
              <w:rPr>
                <w:b/>
                <w:sz w:val="24"/>
              </w:rPr>
              <w:t>Zápach</w:t>
            </w:r>
          </w:p>
        </w:tc>
        <w:tc>
          <w:tcPr>
            <w:tcW w:w="4448" w:type="dxa"/>
          </w:tcPr>
          <w:p w:rsidR="009F62AB" w:rsidRDefault="0001483F">
            <w:pPr>
              <w:pStyle w:val="TableParagraph"/>
              <w:spacing w:before="1" w:line="257" w:lineRule="exact"/>
              <w:rPr>
                <w:sz w:val="24"/>
              </w:rPr>
            </w:pPr>
            <w:r>
              <w:rPr>
                <w:sz w:val="24"/>
              </w:rPr>
              <w:t>typicky esterové</w:t>
            </w:r>
          </w:p>
        </w:tc>
      </w:tr>
      <w:tr w:rsidR="009F62AB">
        <w:trPr>
          <w:trHeight w:val="275"/>
        </w:trPr>
        <w:tc>
          <w:tcPr>
            <w:tcW w:w="4395" w:type="dxa"/>
          </w:tcPr>
          <w:p w:rsidR="009F62AB" w:rsidRDefault="0001483F">
            <w:pPr>
              <w:pStyle w:val="TableParagraph"/>
              <w:spacing w:line="256" w:lineRule="exact"/>
              <w:rPr>
                <w:b/>
                <w:sz w:val="24"/>
              </w:rPr>
            </w:pPr>
            <w:r>
              <w:rPr>
                <w:b/>
                <w:sz w:val="24"/>
              </w:rPr>
              <w:t>pH</w:t>
            </w:r>
          </w:p>
        </w:tc>
        <w:tc>
          <w:tcPr>
            <w:tcW w:w="4448" w:type="dxa"/>
          </w:tcPr>
          <w:p w:rsidR="009F62AB" w:rsidRDefault="00D13636">
            <w:pPr>
              <w:pStyle w:val="TableParagraph"/>
              <w:spacing w:line="256" w:lineRule="exact"/>
              <w:rPr>
                <w:sz w:val="24"/>
              </w:rPr>
            </w:pPr>
            <w:r>
              <w:rPr>
                <w:sz w:val="24"/>
              </w:rPr>
              <w:t>Není k dispozici</w:t>
            </w:r>
          </w:p>
        </w:tc>
      </w:tr>
      <w:tr w:rsidR="009F62AB">
        <w:trPr>
          <w:trHeight w:val="276"/>
        </w:trPr>
        <w:tc>
          <w:tcPr>
            <w:tcW w:w="4395" w:type="dxa"/>
          </w:tcPr>
          <w:p w:rsidR="009F62AB" w:rsidRDefault="0001483F">
            <w:pPr>
              <w:pStyle w:val="TableParagraph"/>
              <w:spacing w:line="256" w:lineRule="exact"/>
              <w:rPr>
                <w:b/>
                <w:sz w:val="24"/>
              </w:rPr>
            </w:pPr>
            <w:r>
              <w:rPr>
                <w:b/>
                <w:sz w:val="24"/>
              </w:rPr>
              <w:t>Bod varu</w:t>
            </w:r>
          </w:p>
        </w:tc>
        <w:tc>
          <w:tcPr>
            <w:tcW w:w="4448" w:type="dxa"/>
          </w:tcPr>
          <w:p w:rsidR="009F62AB" w:rsidRDefault="00D13636">
            <w:pPr>
              <w:pStyle w:val="TableParagraph"/>
              <w:spacing w:line="256" w:lineRule="exact"/>
              <w:rPr>
                <w:sz w:val="24"/>
              </w:rPr>
            </w:pPr>
            <w:r>
              <w:rPr>
                <w:sz w:val="24"/>
              </w:rPr>
              <w:t>Není k dispozici</w:t>
            </w:r>
          </w:p>
        </w:tc>
      </w:tr>
      <w:tr w:rsidR="009F62AB">
        <w:trPr>
          <w:trHeight w:val="275"/>
        </w:trPr>
        <w:tc>
          <w:tcPr>
            <w:tcW w:w="4395" w:type="dxa"/>
          </w:tcPr>
          <w:p w:rsidR="009F62AB" w:rsidRDefault="0001483F">
            <w:pPr>
              <w:pStyle w:val="TableParagraph"/>
              <w:spacing w:line="256" w:lineRule="exact"/>
              <w:rPr>
                <w:b/>
                <w:sz w:val="24"/>
              </w:rPr>
            </w:pPr>
            <w:r>
              <w:rPr>
                <w:b/>
                <w:sz w:val="24"/>
              </w:rPr>
              <w:t>Bod tání</w:t>
            </w:r>
          </w:p>
        </w:tc>
        <w:tc>
          <w:tcPr>
            <w:tcW w:w="4448" w:type="dxa"/>
          </w:tcPr>
          <w:p w:rsidR="009F62AB" w:rsidRDefault="0001483F">
            <w:pPr>
              <w:pStyle w:val="TableParagraph"/>
              <w:spacing w:line="256" w:lineRule="exact"/>
              <w:rPr>
                <w:sz w:val="24"/>
              </w:rPr>
            </w:pPr>
            <w:r>
              <w:rPr>
                <w:sz w:val="23"/>
              </w:rPr>
              <w:t xml:space="preserve">150 – 230 </w:t>
            </w:r>
            <w:r>
              <w:rPr>
                <w:sz w:val="24"/>
              </w:rPr>
              <w:t>°C</w:t>
            </w:r>
          </w:p>
        </w:tc>
      </w:tr>
      <w:tr w:rsidR="009F62AB">
        <w:trPr>
          <w:trHeight w:val="275"/>
        </w:trPr>
        <w:tc>
          <w:tcPr>
            <w:tcW w:w="4395" w:type="dxa"/>
          </w:tcPr>
          <w:p w:rsidR="009F62AB" w:rsidRDefault="0001483F">
            <w:pPr>
              <w:pStyle w:val="TableParagraph"/>
              <w:spacing w:line="256" w:lineRule="exact"/>
              <w:rPr>
                <w:b/>
                <w:sz w:val="24"/>
              </w:rPr>
            </w:pPr>
            <w:r>
              <w:rPr>
                <w:b/>
                <w:sz w:val="24"/>
              </w:rPr>
              <w:t>Bod vzplanutí</w:t>
            </w:r>
          </w:p>
        </w:tc>
        <w:tc>
          <w:tcPr>
            <w:tcW w:w="4448" w:type="dxa"/>
          </w:tcPr>
          <w:p w:rsidR="009F62AB" w:rsidRDefault="0001483F">
            <w:pPr>
              <w:pStyle w:val="TableParagraph"/>
              <w:spacing w:line="256" w:lineRule="exact"/>
              <w:rPr>
                <w:sz w:val="24"/>
              </w:rPr>
            </w:pPr>
            <w:r>
              <w:rPr>
                <w:sz w:val="24"/>
              </w:rPr>
              <w:t>Cca. 390 °C</w:t>
            </w:r>
          </w:p>
        </w:tc>
      </w:tr>
      <w:tr w:rsidR="009F62AB">
        <w:trPr>
          <w:trHeight w:val="275"/>
        </w:trPr>
        <w:tc>
          <w:tcPr>
            <w:tcW w:w="4395" w:type="dxa"/>
          </w:tcPr>
          <w:p w:rsidR="009F62AB" w:rsidRDefault="0001483F">
            <w:pPr>
              <w:pStyle w:val="TableParagraph"/>
              <w:spacing w:line="256" w:lineRule="exact"/>
              <w:rPr>
                <w:b/>
                <w:sz w:val="24"/>
              </w:rPr>
            </w:pPr>
            <w:r>
              <w:rPr>
                <w:b/>
                <w:sz w:val="24"/>
              </w:rPr>
              <w:t>Výbušné vlastnosti</w:t>
            </w:r>
          </w:p>
        </w:tc>
        <w:tc>
          <w:tcPr>
            <w:tcW w:w="4448" w:type="dxa"/>
          </w:tcPr>
          <w:p w:rsidR="009F62AB" w:rsidRDefault="0001483F">
            <w:pPr>
              <w:pStyle w:val="TableParagraph"/>
              <w:spacing w:line="256" w:lineRule="exact"/>
              <w:rPr>
                <w:sz w:val="24"/>
              </w:rPr>
            </w:pPr>
            <w:r>
              <w:rPr>
                <w:sz w:val="24"/>
              </w:rPr>
              <w:t>Slabě až středně výbušná</w:t>
            </w:r>
          </w:p>
        </w:tc>
      </w:tr>
      <w:tr w:rsidR="009F62AB">
        <w:trPr>
          <w:trHeight w:val="275"/>
        </w:trPr>
        <w:tc>
          <w:tcPr>
            <w:tcW w:w="4395" w:type="dxa"/>
          </w:tcPr>
          <w:p w:rsidR="009F62AB" w:rsidRDefault="0001483F">
            <w:pPr>
              <w:pStyle w:val="TableParagraph"/>
              <w:spacing w:line="256" w:lineRule="exact"/>
              <w:rPr>
                <w:b/>
                <w:sz w:val="24"/>
              </w:rPr>
            </w:pPr>
            <w:r>
              <w:rPr>
                <w:b/>
                <w:sz w:val="24"/>
              </w:rPr>
              <w:t>Limity hořlavosti (spodní)</w:t>
            </w:r>
          </w:p>
        </w:tc>
        <w:tc>
          <w:tcPr>
            <w:tcW w:w="4448" w:type="dxa"/>
          </w:tcPr>
          <w:p w:rsidR="009F62AB" w:rsidRDefault="00D13636">
            <w:pPr>
              <w:pStyle w:val="TableParagraph"/>
              <w:spacing w:line="256" w:lineRule="exact"/>
              <w:rPr>
                <w:sz w:val="24"/>
              </w:rPr>
            </w:pPr>
            <w:r>
              <w:rPr>
                <w:sz w:val="24"/>
              </w:rPr>
              <w:t>Není k dispozici</w:t>
            </w:r>
          </w:p>
        </w:tc>
      </w:tr>
      <w:tr w:rsidR="009F62AB">
        <w:trPr>
          <w:trHeight w:val="278"/>
        </w:trPr>
        <w:tc>
          <w:tcPr>
            <w:tcW w:w="4395" w:type="dxa"/>
          </w:tcPr>
          <w:p w:rsidR="009F62AB" w:rsidRDefault="0001483F">
            <w:pPr>
              <w:pStyle w:val="TableParagraph"/>
              <w:spacing w:before="1" w:line="257" w:lineRule="exact"/>
              <w:rPr>
                <w:b/>
                <w:sz w:val="24"/>
              </w:rPr>
            </w:pPr>
            <w:r>
              <w:rPr>
                <w:b/>
                <w:sz w:val="24"/>
              </w:rPr>
              <w:t>Meze hořlavosti (horní)</w:t>
            </w:r>
          </w:p>
        </w:tc>
        <w:tc>
          <w:tcPr>
            <w:tcW w:w="4448" w:type="dxa"/>
          </w:tcPr>
          <w:p w:rsidR="009F62AB" w:rsidRDefault="00D13636">
            <w:pPr>
              <w:pStyle w:val="TableParagraph"/>
              <w:spacing w:before="1" w:line="257" w:lineRule="exact"/>
              <w:rPr>
                <w:sz w:val="24"/>
              </w:rPr>
            </w:pPr>
            <w:r>
              <w:rPr>
                <w:sz w:val="24"/>
              </w:rPr>
              <w:t>Není k dispozici</w:t>
            </w:r>
          </w:p>
        </w:tc>
      </w:tr>
      <w:tr w:rsidR="009F62AB">
        <w:trPr>
          <w:trHeight w:val="275"/>
        </w:trPr>
        <w:tc>
          <w:tcPr>
            <w:tcW w:w="4395" w:type="dxa"/>
          </w:tcPr>
          <w:p w:rsidR="009F62AB" w:rsidRDefault="0001483F">
            <w:pPr>
              <w:pStyle w:val="TableParagraph"/>
              <w:spacing w:line="256" w:lineRule="exact"/>
              <w:rPr>
                <w:b/>
                <w:sz w:val="24"/>
              </w:rPr>
            </w:pPr>
            <w:r>
              <w:rPr>
                <w:b/>
                <w:sz w:val="24"/>
              </w:rPr>
              <w:t>Oxidační vlastnosti</w:t>
            </w:r>
          </w:p>
        </w:tc>
        <w:tc>
          <w:tcPr>
            <w:tcW w:w="4448" w:type="dxa"/>
          </w:tcPr>
          <w:p w:rsidR="009F62AB" w:rsidRDefault="00D13636">
            <w:pPr>
              <w:pStyle w:val="TableParagraph"/>
              <w:spacing w:line="256" w:lineRule="exact"/>
              <w:rPr>
                <w:sz w:val="24"/>
              </w:rPr>
            </w:pPr>
            <w:r>
              <w:rPr>
                <w:sz w:val="24"/>
              </w:rPr>
              <w:t>Není k dispozici</w:t>
            </w:r>
          </w:p>
        </w:tc>
      </w:tr>
      <w:tr w:rsidR="009F62AB">
        <w:trPr>
          <w:trHeight w:val="275"/>
        </w:trPr>
        <w:tc>
          <w:tcPr>
            <w:tcW w:w="4395" w:type="dxa"/>
          </w:tcPr>
          <w:p w:rsidR="009F62AB" w:rsidRDefault="0001483F">
            <w:pPr>
              <w:pStyle w:val="TableParagraph"/>
              <w:spacing w:line="256" w:lineRule="exact"/>
              <w:rPr>
                <w:b/>
                <w:sz w:val="24"/>
              </w:rPr>
            </w:pPr>
            <w:r>
              <w:rPr>
                <w:b/>
                <w:sz w:val="24"/>
              </w:rPr>
              <w:t>Tlak par</w:t>
            </w:r>
          </w:p>
        </w:tc>
        <w:tc>
          <w:tcPr>
            <w:tcW w:w="4448" w:type="dxa"/>
          </w:tcPr>
          <w:p w:rsidR="009F62AB" w:rsidRDefault="00D13636">
            <w:pPr>
              <w:pStyle w:val="TableParagraph"/>
              <w:spacing w:line="256" w:lineRule="exact"/>
              <w:rPr>
                <w:sz w:val="24"/>
              </w:rPr>
            </w:pPr>
            <w:r>
              <w:rPr>
                <w:sz w:val="24"/>
              </w:rPr>
              <w:t>Není k dispozici</w:t>
            </w:r>
          </w:p>
        </w:tc>
      </w:tr>
      <w:tr w:rsidR="009F62AB">
        <w:trPr>
          <w:trHeight w:val="275"/>
        </w:trPr>
        <w:tc>
          <w:tcPr>
            <w:tcW w:w="4395" w:type="dxa"/>
          </w:tcPr>
          <w:p w:rsidR="009F62AB" w:rsidRDefault="0001483F">
            <w:pPr>
              <w:pStyle w:val="TableParagraph"/>
              <w:spacing w:line="256" w:lineRule="exact"/>
              <w:rPr>
                <w:b/>
                <w:sz w:val="24"/>
              </w:rPr>
            </w:pPr>
            <w:r>
              <w:rPr>
                <w:b/>
                <w:sz w:val="24"/>
              </w:rPr>
              <w:t>Hustota</w:t>
            </w:r>
          </w:p>
        </w:tc>
        <w:tc>
          <w:tcPr>
            <w:tcW w:w="4448" w:type="dxa"/>
          </w:tcPr>
          <w:p w:rsidR="009F62AB" w:rsidRDefault="0001483F">
            <w:pPr>
              <w:pStyle w:val="TableParagraph"/>
              <w:spacing w:line="256" w:lineRule="exact"/>
              <w:rPr>
                <w:sz w:val="16"/>
              </w:rPr>
            </w:pPr>
            <w:r>
              <w:rPr>
                <w:sz w:val="24"/>
              </w:rPr>
              <w:t xml:space="preserve">1,10-1,18 g/ </w:t>
            </w:r>
            <w:r>
              <w:rPr>
                <w:position w:val="9"/>
                <w:sz w:val="16"/>
              </w:rPr>
              <w:t>cm3</w:t>
            </w:r>
          </w:p>
        </w:tc>
      </w:tr>
      <w:tr w:rsidR="009F62AB">
        <w:trPr>
          <w:trHeight w:val="275"/>
        </w:trPr>
        <w:tc>
          <w:tcPr>
            <w:tcW w:w="4395" w:type="dxa"/>
          </w:tcPr>
          <w:p w:rsidR="009F62AB" w:rsidRDefault="0001483F">
            <w:pPr>
              <w:pStyle w:val="TableParagraph"/>
              <w:spacing w:line="256" w:lineRule="exact"/>
              <w:rPr>
                <w:b/>
                <w:sz w:val="24"/>
              </w:rPr>
            </w:pPr>
            <w:r>
              <w:rPr>
                <w:b/>
                <w:sz w:val="24"/>
              </w:rPr>
              <w:t>Objemová hmotnost</w:t>
            </w:r>
          </w:p>
        </w:tc>
        <w:tc>
          <w:tcPr>
            <w:tcW w:w="4448" w:type="dxa"/>
          </w:tcPr>
          <w:p w:rsidR="009F62AB" w:rsidRDefault="0001483F">
            <w:pPr>
              <w:pStyle w:val="TableParagraph"/>
              <w:spacing w:line="256" w:lineRule="exact"/>
              <w:rPr>
                <w:sz w:val="24"/>
              </w:rPr>
            </w:pPr>
            <w:r>
              <w:rPr>
                <w:sz w:val="24"/>
              </w:rPr>
              <w:t>0,6-0,7 g/ml</w:t>
            </w:r>
          </w:p>
        </w:tc>
      </w:tr>
      <w:tr w:rsidR="009F62AB">
        <w:trPr>
          <w:trHeight w:val="275"/>
        </w:trPr>
        <w:tc>
          <w:tcPr>
            <w:tcW w:w="4395" w:type="dxa"/>
          </w:tcPr>
          <w:p w:rsidR="009F62AB" w:rsidRDefault="0001483F">
            <w:pPr>
              <w:pStyle w:val="TableParagraph"/>
              <w:spacing w:line="256" w:lineRule="exact"/>
              <w:rPr>
                <w:b/>
                <w:sz w:val="24"/>
              </w:rPr>
            </w:pPr>
            <w:r>
              <w:rPr>
                <w:b/>
                <w:sz w:val="24"/>
              </w:rPr>
              <w:t>Rozpustnost ve vodě</w:t>
            </w:r>
          </w:p>
        </w:tc>
        <w:tc>
          <w:tcPr>
            <w:tcW w:w="4448" w:type="dxa"/>
          </w:tcPr>
          <w:p w:rsidR="009F62AB" w:rsidRDefault="0001483F">
            <w:pPr>
              <w:pStyle w:val="TableParagraph"/>
              <w:spacing w:line="256" w:lineRule="exact"/>
              <w:rPr>
                <w:sz w:val="23"/>
              </w:rPr>
            </w:pPr>
            <w:r>
              <w:rPr>
                <w:sz w:val="23"/>
              </w:rPr>
              <w:t>zanedbatelný</w:t>
            </w:r>
          </w:p>
        </w:tc>
      </w:tr>
      <w:tr w:rsidR="009F62AB">
        <w:trPr>
          <w:trHeight w:val="278"/>
        </w:trPr>
        <w:tc>
          <w:tcPr>
            <w:tcW w:w="4395" w:type="dxa"/>
            <w:tcBorders>
              <w:bottom w:val="single" w:sz="8" w:space="0" w:color="000000"/>
            </w:tcBorders>
          </w:tcPr>
          <w:p w:rsidR="009F62AB" w:rsidRDefault="0001483F">
            <w:pPr>
              <w:pStyle w:val="TableParagraph"/>
              <w:spacing w:before="1" w:line="257" w:lineRule="exact"/>
              <w:rPr>
                <w:b/>
                <w:sz w:val="24"/>
              </w:rPr>
            </w:pPr>
            <w:r>
              <w:rPr>
                <w:b/>
                <w:sz w:val="24"/>
              </w:rPr>
              <w:t>Rozpustnost jiná</w:t>
            </w:r>
          </w:p>
        </w:tc>
        <w:tc>
          <w:tcPr>
            <w:tcW w:w="4448" w:type="dxa"/>
            <w:tcBorders>
              <w:bottom w:val="single" w:sz="8" w:space="0" w:color="000000"/>
            </w:tcBorders>
          </w:tcPr>
          <w:p w:rsidR="009F62AB" w:rsidRDefault="0001483F">
            <w:pPr>
              <w:pStyle w:val="TableParagraph"/>
              <w:spacing w:before="1" w:line="257" w:lineRule="exact"/>
              <w:rPr>
                <w:sz w:val="24"/>
              </w:rPr>
            </w:pPr>
            <w:r>
              <w:rPr>
                <w:sz w:val="24"/>
              </w:rPr>
              <w:t>Údaje nejsou k dispozici</w:t>
            </w:r>
          </w:p>
        </w:tc>
      </w:tr>
      <w:tr w:rsidR="009F62AB">
        <w:trPr>
          <w:trHeight w:val="868"/>
        </w:trPr>
        <w:tc>
          <w:tcPr>
            <w:tcW w:w="8843" w:type="dxa"/>
            <w:gridSpan w:val="2"/>
            <w:tcBorders>
              <w:top w:val="single" w:sz="8" w:space="0" w:color="000000"/>
            </w:tcBorders>
          </w:tcPr>
          <w:p w:rsidR="009F62AB" w:rsidRDefault="009F62AB">
            <w:pPr>
              <w:pStyle w:val="TableParagraph"/>
              <w:spacing w:before="6"/>
              <w:ind w:left="0"/>
              <w:rPr>
                <w:sz w:val="25"/>
              </w:rPr>
            </w:pPr>
          </w:p>
          <w:p w:rsidR="009F62AB" w:rsidRDefault="0001483F">
            <w:pPr>
              <w:pStyle w:val="TableParagraph"/>
              <w:rPr>
                <w:b/>
                <w:sz w:val="24"/>
              </w:rPr>
            </w:pPr>
            <w:r>
              <w:rPr>
                <w:b/>
                <w:sz w:val="24"/>
              </w:rPr>
              <w:t>9.2 Další informace</w:t>
            </w:r>
          </w:p>
          <w:p w:rsidR="009F62AB" w:rsidRDefault="0001483F">
            <w:pPr>
              <w:pStyle w:val="TableParagraph"/>
              <w:rPr>
                <w:sz w:val="24"/>
              </w:rPr>
            </w:pPr>
            <w:r>
              <w:rPr>
                <w:sz w:val="24"/>
              </w:rPr>
              <w:t>Žádné další informace relevantní pro bezpečné použití směsi.</w:t>
            </w:r>
          </w:p>
        </w:tc>
      </w:tr>
    </w:tbl>
    <w:p w:rsidR="009F62AB" w:rsidRDefault="009F62AB">
      <w:pPr>
        <w:pStyle w:val="Zkladntext"/>
        <w:rPr>
          <w:sz w:val="20"/>
        </w:rPr>
      </w:pPr>
    </w:p>
    <w:p w:rsidR="009F62AB" w:rsidRDefault="005D4CB0">
      <w:pPr>
        <w:pStyle w:val="Zkladntext"/>
        <w:spacing w:before="2"/>
        <w:rPr>
          <w:sz w:val="21"/>
        </w:rPr>
      </w:pPr>
      <w:r>
        <w:pict>
          <v:group id="_x0000_s1063" style="position:absolute;margin-left:84pt;margin-top:14.4pt;width:444.2pt;height:217.2pt;z-index:-251637760;mso-wrap-distance-left:0;mso-wrap-distance-right:0;mso-position-horizontal-relative:page" coordorigin="1680,288" coordsize="8884,3951">
            <v:line id="_x0000_s1067" style="position:absolute" from="1690,293" to="10555,293" strokeweight=".48pt"/>
            <v:line id="_x0000_s1066" style="position:absolute" from="1685,288" to="1685,4239" strokeweight=".48pt"/>
            <v:line id="_x0000_s1065" style="position:absolute" from="10560,288" to="10560,4239" strokeweight=".48pt"/>
            <v:shape id="_x0000_s1064" type="#_x0000_t202" style="position:absolute;left:1680;top:288;width:8884;height:3951" filled="f" stroked="f">
              <v:textbox inset="0,0,0,0">
                <w:txbxContent>
                  <w:p w:rsidR="00503E71" w:rsidRPr="00503E71" w:rsidRDefault="00503E71" w:rsidP="00503E71">
                    <w:pPr>
                      <w:tabs>
                        <w:tab w:val="left" w:pos="598"/>
                      </w:tabs>
                      <w:rPr>
                        <w:rFonts w:ascii="Arial" w:hAnsi="Arial" w:cs="Arial"/>
                        <w:b/>
                        <w:i/>
                        <w:sz w:val="24"/>
                      </w:rPr>
                    </w:pPr>
                    <w:r w:rsidRPr="00503E71">
                      <w:rPr>
                        <w:rFonts w:ascii="Arial" w:hAnsi="Arial" w:cs="Arial"/>
                        <w:b/>
                        <w:i/>
                        <w:sz w:val="24"/>
                      </w:rPr>
                      <w:t>ODDÍL 10: Stálost a reaktivita</w:t>
                    </w:r>
                  </w:p>
                  <w:p w:rsidR="00503E71" w:rsidRPr="00503E71" w:rsidRDefault="00503E71" w:rsidP="00503E71">
                    <w:pPr>
                      <w:tabs>
                        <w:tab w:val="left" w:pos="598"/>
                      </w:tabs>
                      <w:rPr>
                        <w:b/>
                        <w:sz w:val="24"/>
                      </w:rPr>
                    </w:pPr>
                    <w:r w:rsidRPr="00503E71">
                      <w:rPr>
                        <w:b/>
                        <w:sz w:val="24"/>
                      </w:rPr>
                      <w:t>10.1 Reaktivita</w:t>
                    </w:r>
                  </w:p>
                  <w:p w:rsidR="00503E71" w:rsidRPr="00503E71" w:rsidRDefault="00503E71" w:rsidP="00503E71">
                    <w:pPr>
                      <w:tabs>
                        <w:tab w:val="left" w:pos="598"/>
                      </w:tabs>
                      <w:rPr>
                        <w:sz w:val="24"/>
                      </w:rPr>
                    </w:pPr>
                    <w:r w:rsidRPr="00503E71">
                      <w:rPr>
                        <w:sz w:val="24"/>
                      </w:rPr>
                      <w:t>Za normálních podmínek a správného použití nereaguje.</w:t>
                    </w:r>
                  </w:p>
                  <w:p w:rsidR="00503E71" w:rsidRPr="00503E71" w:rsidRDefault="00503E71" w:rsidP="00503E71">
                    <w:pPr>
                      <w:tabs>
                        <w:tab w:val="left" w:pos="598"/>
                      </w:tabs>
                      <w:ind w:left="597"/>
                      <w:rPr>
                        <w:b/>
                        <w:sz w:val="24"/>
                      </w:rPr>
                    </w:pPr>
                  </w:p>
                  <w:p w:rsidR="00503E71" w:rsidRPr="00503E71" w:rsidRDefault="00503E71" w:rsidP="00503E71">
                    <w:pPr>
                      <w:tabs>
                        <w:tab w:val="left" w:pos="598"/>
                      </w:tabs>
                      <w:rPr>
                        <w:b/>
                        <w:sz w:val="24"/>
                      </w:rPr>
                    </w:pPr>
                    <w:r w:rsidRPr="00503E71">
                      <w:rPr>
                        <w:b/>
                        <w:sz w:val="24"/>
                      </w:rPr>
                      <w:t>10.2 Chemická stabilita</w:t>
                    </w:r>
                  </w:p>
                  <w:p w:rsidR="00503E71" w:rsidRPr="00503E71" w:rsidRDefault="00503E71" w:rsidP="00503E71">
                    <w:pPr>
                      <w:tabs>
                        <w:tab w:val="left" w:pos="598"/>
                      </w:tabs>
                      <w:rPr>
                        <w:sz w:val="24"/>
                      </w:rPr>
                    </w:pPr>
                    <w:r w:rsidRPr="00503E71">
                      <w:rPr>
                        <w:sz w:val="24"/>
                      </w:rPr>
                      <w:t>S</w:t>
                    </w:r>
                    <w:r w:rsidRPr="00503E71">
                      <w:rPr>
                        <w:sz w:val="24"/>
                      </w:rPr>
                      <w:t>tabilní za normálních podmínek.</w:t>
                    </w:r>
                  </w:p>
                  <w:p w:rsidR="00503E71" w:rsidRPr="00503E71" w:rsidRDefault="00503E71" w:rsidP="00503E71">
                    <w:pPr>
                      <w:tabs>
                        <w:tab w:val="left" w:pos="598"/>
                      </w:tabs>
                      <w:ind w:left="597"/>
                      <w:rPr>
                        <w:sz w:val="24"/>
                      </w:rPr>
                    </w:pPr>
                  </w:p>
                  <w:p w:rsidR="00503E71" w:rsidRPr="00503E71" w:rsidRDefault="00503E71" w:rsidP="00503E71">
                    <w:pPr>
                      <w:tabs>
                        <w:tab w:val="left" w:pos="598"/>
                      </w:tabs>
                      <w:rPr>
                        <w:b/>
                        <w:sz w:val="24"/>
                      </w:rPr>
                    </w:pPr>
                    <w:r w:rsidRPr="00503E71">
                      <w:rPr>
                        <w:b/>
                        <w:sz w:val="24"/>
                      </w:rPr>
                      <w:t>10.3 Možnost nebezpečné reakce</w:t>
                    </w:r>
                  </w:p>
                  <w:p w:rsidR="00503E71" w:rsidRPr="00503E71" w:rsidRDefault="00503E71" w:rsidP="00503E71">
                    <w:pPr>
                      <w:tabs>
                        <w:tab w:val="left" w:pos="598"/>
                      </w:tabs>
                      <w:rPr>
                        <w:sz w:val="24"/>
                      </w:rPr>
                    </w:pPr>
                    <w:r w:rsidRPr="00503E71">
                      <w:rPr>
                        <w:sz w:val="24"/>
                      </w:rPr>
                      <w:t>Neznámý.</w:t>
                    </w:r>
                  </w:p>
                  <w:p w:rsidR="00503E71" w:rsidRPr="00503E71" w:rsidRDefault="00503E71" w:rsidP="00503E71">
                    <w:pPr>
                      <w:tabs>
                        <w:tab w:val="left" w:pos="598"/>
                      </w:tabs>
                      <w:ind w:left="597"/>
                      <w:rPr>
                        <w:b/>
                        <w:sz w:val="24"/>
                      </w:rPr>
                    </w:pPr>
                  </w:p>
                  <w:p w:rsidR="00503E71" w:rsidRPr="00503E71" w:rsidRDefault="00503E71" w:rsidP="00503E71">
                    <w:pPr>
                      <w:tabs>
                        <w:tab w:val="left" w:pos="598"/>
                      </w:tabs>
                      <w:rPr>
                        <w:b/>
                        <w:sz w:val="24"/>
                      </w:rPr>
                    </w:pPr>
                    <w:r w:rsidRPr="00503E71">
                      <w:rPr>
                        <w:b/>
                        <w:sz w:val="24"/>
                      </w:rPr>
                      <w:t>10.4 Podmínky, kterým je třeba zabránit</w:t>
                    </w:r>
                  </w:p>
                  <w:p w:rsidR="00503E71" w:rsidRPr="00503E71" w:rsidRDefault="00503E71" w:rsidP="00503E71">
                    <w:pPr>
                      <w:tabs>
                        <w:tab w:val="left" w:pos="598"/>
                      </w:tabs>
                      <w:rPr>
                        <w:sz w:val="24"/>
                      </w:rPr>
                    </w:pPr>
                    <w:r w:rsidRPr="00503E71">
                      <w:rPr>
                        <w:sz w:val="24"/>
                      </w:rPr>
                      <w:t>Zabraňte tvorbě prachu.</w:t>
                    </w:r>
                  </w:p>
                  <w:p w:rsidR="00503E71" w:rsidRPr="00503E71" w:rsidRDefault="00503E71" w:rsidP="00503E71">
                    <w:pPr>
                      <w:tabs>
                        <w:tab w:val="left" w:pos="598"/>
                      </w:tabs>
                      <w:ind w:left="597"/>
                      <w:rPr>
                        <w:b/>
                        <w:sz w:val="24"/>
                      </w:rPr>
                    </w:pPr>
                  </w:p>
                  <w:p w:rsidR="009F62AB" w:rsidRPr="00503E71" w:rsidRDefault="00503E71" w:rsidP="00503E71">
                    <w:pPr>
                      <w:tabs>
                        <w:tab w:val="left" w:pos="598"/>
                      </w:tabs>
                      <w:rPr>
                        <w:b/>
                        <w:sz w:val="24"/>
                      </w:rPr>
                    </w:pPr>
                    <w:r w:rsidRPr="00503E71">
                      <w:rPr>
                        <w:b/>
                        <w:sz w:val="24"/>
                      </w:rPr>
                      <w:t>10.5 Neslučitelné materiály</w:t>
                    </w:r>
                  </w:p>
                </w:txbxContent>
              </v:textbox>
            </v:shape>
            <w10:wrap type="topAndBottom" anchorx="page"/>
          </v:group>
        </w:pict>
      </w:r>
    </w:p>
    <w:p w:rsidR="009F62AB" w:rsidRDefault="009F62AB">
      <w:pPr>
        <w:rPr>
          <w:sz w:val="21"/>
        </w:rPr>
        <w:sectPr w:rsidR="009F62AB">
          <w:headerReference w:type="default" r:id="rId13"/>
          <w:footerReference w:type="default" r:id="rId14"/>
          <w:pgSz w:w="12250" w:h="15850"/>
          <w:pgMar w:top="2120" w:right="1560" w:bottom="1140" w:left="1580" w:header="738" w:footer="957" w:gutter="0"/>
          <w:pgNumType w:start="5"/>
          <w:cols w:space="708"/>
        </w:sectPr>
      </w:pPr>
    </w:p>
    <w:p w:rsidR="009F62AB" w:rsidRDefault="005D4CB0">
      <w:pPr>
        <w:pStyle w:val="Zkladntext"/>
        <w:ind w:left="100"/>
        <w:rPr>
          <w:sz w:val="20"/>
        </w:rPr>
      </w:pPr>
      <w:r>
        <w:rPr>
          <w:sz w:val="20"/>
        </w:rPr>
      </w:r>
      <w:r>
        <w:rPr>
          <w:sz w:val="20"/>
        </w:rPr>
        <w:pict>
          <v:group id="_x0000_s1050" style="width:444.2pt;height:70.6pt;mso-position-horizontal-relative:char;mso-position-vertical-relative:line" coordsize="8884,1412">
            <v:line id="_x0000_s1062" style="position:absolute" from="5,0" to="5,276" strokeweight=".48pt"/>
            <v:line id="_x0000_s1061" style="position:absolute" from="5,276" to="5,552" strokeweight=".48pt"/>
            <v:line id="_x0000_s1060" style="position:absolute" from="5,552" to="5,828" strokeweight=".48pt"/>
            <v:line id="_x0000_s1059" style="position:absolute" from="5,828" to="5,1104" strokeweight=".48pt"/>
            <v:line id="_x0000_s1058" style="position:absolute" from="10,1406" to="8874,1406" strokeweight=".48pt"/>
            <v:line id="_x0000_s1057" style="position:absolute" from="5,1104" to="5,1411" strokeweight=".48pt"/>
            <v:line id="_x0000_s1056" style="position:absolute" from="8879,0" to="8879,276" strokeweight=".48pt"/>
            <v:line id="_x0000_s1055" style="position:absolute" from="8879,276" to="8879,552" strokeweight=".48pt"/>
            <v:line id="_x0000_s1054" style="position:absolute" from="8879,552" to="8879,828" strokeweight=".48pt"/>
            <v:line id="_x0000_s1053" style="position:absolute" from="8879,828" to="8879,1104" strokeweight=".48pt"/>
            <v:line id="_x0000_s1052" style="position:absolute" from="8879,1104" to="8879,1411" strokeweight=".48pt"/>
            <v:shape id="_x0000_s1051" type="#_x0000_t202" style="position:absolute;width:8884;height:1412" filled="f" stroked="f">
              <v:textbox inset="0,0,0,0">
                <w:txbxContent>
                  <w:p w:rsidR="00503E71" w:rsidRPr="00503E71" w:rsidRDefault="00503E71" w:rsidP="00503E71">
                    <w:pPr>
                      <w:ind w:left="117"/>
                      <w:rPr>
                        <w:sz w:val="24"/>
                      </w:rPr>
                    </w:pPr>
                    <w:r w:rsidRPr="00503E71">
                      <w:rPr>
                        <w:sz w:val="24"/>
                      </w:rPr>
                      <w:t>Polymer obsahuje zbytkový benzoylperoxid. Ten může reagovat s oxidačními činidly, redukčními činidly, kyselinami, zásadami a aminy, což vede k rozkladu.</w:t>
                    </w:r>
                  </w:p>
                  <w:p w:rsidR="00503E71" w:rsidRPr="00503E71" w:rsidRDefault="00503E71" w:rsidP="00503E71">
                    <w:pPr>
                      <w:ind w:left="117"/>
                      <w:rPr>
                        <w:sz w:val="24"/>
                      </w:rPr>
                    </w:pPr>
                  </w:p>
                  <w:p w:rsidR="00503E71" w:rsidRPr="00503E71" w:rsidRDefault="00503E71" w:rsidP="00503E71">
                    <w:pPr>
                      <w:ind w:left="117"/>
                      <w:rPr>
                        <w:b/>
                        <w:sz w:val="24"/>
                      </w:rPr>
                    </w:pPr>
                    <w:r w:rsidRPr="00503E71">
                      <w:rPr>
                        <w:b/>
                        <w:sz w:val="24"/>
                      </w:rPr>
                      <w:t>10.6 Nebezpečné produkty rozkladu</w:t>
                    </w:r>
                  </w:p>
                  <w:p w:rsidR="009F62AB" w:rsidRDefault="00503E71" w:rsidP="00503E71">
                    <w:pPr>
                      <w:ind w:left="117"/>
                      <w:rPr>
                        <w:sz w:val="24"/>
                      </w:rPr>
                    </w:pPr>
                    <w:proofErr w:type="spellStart"/>
                    <w:r w:rsidRPr="00503E71">
                      <w:rPr>
                        <w:sz w:val="24"/>
                      </w:rPr>
                      <w:t>Methylmethakrylát</w:t>
                    </w:r>
                    <w:proofErr w:type="spellEnd"/>
                    <w:r w:rsidRPr="00503E71">
                      <w:rPr>
                        <w:sz w:val="24"/>
                      </w:rPr>
                      <w:t xml:space="preserve">, </w:t>
                    </w:r>
                    <w:proofErr w:type="spellStart"/>
                    <w:r w:rsidRPr="00503E71">
                      <w:rPr>
                        <w:sz w:val="24"/>
                      </w:rPr>
                      <w:t>dibenzoylperoxid</w:t>
                    </w:r>
                    <w:proofErr w:type="spellEnd"/>
                    <w:r w:rsidRPr="00503E71">
                      <w:rPr>
                        <w:sz w:val="24"/>
                      </w:rPr>
                      <w:t>, oxid uhličitý, oxid uhelnatý.</w:t>
                    </w:r>
                  </w:p>
                </w:txbxContent>
              </v:textbox>
            </v:shape>
            <w10:anchorlock/>
          </v:group>
        </w:pict>
      </w:r>
    </w:p>
    <w:p w:rsidR="009F62AB" w:rsidRDefault="009F62AB">
      <w:pPr>
        <w:pStyle w:val="Zkladntext"/>
        <w:rPr>
          <w:sz w:val="20"/>
        </w:rPr>
      </w:pPr>
    </w:p>
    <w:p w:rsidR="009F62AB" w:rsidRDefault="009F62AB">
      <w:pPr>
        <w:pStyle w:val="Zkladntext"/>
        <w:spacing w:before="2"/>
        <w:rPr>
          <w:sz w:val="16"/>
        </w:rPr>
      </w:pPr>
    </w:p>
    <w:p w:rsidR="009F62AB" w:rsidRDefault="005D4CB0">
      <w:pPr>
        <w:pStyle w:val="Nadpis2"/>
        <w:spacing w:before="92"/>
        <w:ind w:left="218"/>
      </w:pPr>
      <w:r>
        <w:pict>
          <v:group id="_x0000_s1046" style="position:absolute;left:0;text-align:left;margin-left:84pt;margin-top:3.15pt;width:444.2pt;height:501.2pt;z-index:-252497920;mso-position-horizontal-relative:page" coordorigin="1680,63" coordsize="8884,10024">
            <v:line id="_x0000_s1049" style="position:absolute" from="1690,68" to="10555,68" strokeweight=".48pt"/>
            <v:line id="_x0000_s1048" style="position:absolute" from="1685,63" to="1685,10087" strokeweight=".48pt"/>
            <v:line id="_x0000_s1047" style="position:absolute" from="10560,63" to="10560,10087" strokeweight=".48pt"/>
            <w10:wrap anchorx="page"/>
          </v:group>
        </w:pict>
      </w:r>
      <w:r w:rsidR="0001483F">
        <w:t>ODDÍL 11: Toxikologické informace</w:t>
      </w:r>
    </w:p>
    <w:p w:rsidR="009F62AB" w:rsidRDefault="0001483F">
      <w:pPr>
        <w:spacing w:before="57"/>
        <w:ind w:left="218"/>
        <w:rPr>
          <w:b/>
          <w:sz w:val="24"/>
        </w:rPr>
      </w:pPr>
      <w:r>
        <w:rPr>
          <w:b/>
          <w:sz w:val="24"/>
        </w:rPr>
        <w:t>11.1 Informace o třídách nebezpečnosti podle definice v nařízení (ES) č. 1272/2008</w:t>
      </w:r>
    </w:p>
    <w:p w:rsidR="009F62AB" w:rsidRDefault="0001483F">
      <w:pPr>
        <w:pStyle w:val="Zkladntext"/>
        <w:ind w:left="218"/>
      </w:pPr>
      <w:r>
        <w:t>Akutní toxicita:</w:t>
      </w:r>
    </w:p>
    <w:p w:rsidR="009F62AB" w:rsidRDefault="0001483F">
      <w:pPr>
        <w:ind w:left="218"/>
        <w:rPr>
          <w:sz w:val="24"/>
        </w:rPr>
      </w:pPr>
      <w:r>
        <w:rPr>
          <w:i/>
          <w:sz w:val="24"/>
        </w:rPr>
        <w:t xml:space="preserve">Požití: </w:t>
      </w:r>
      <w:r>
        <w:rPr>
          <w:sz w:val="24"/>
        </w:rPr>
        <w:t>Nízká orální toxicita.</w:t>
      </w:r>
    </w:p>
    <w:p w:rsidR="009F62AB" w:rsidRDefault="009F62AB">
      <w:pPr>
        <w:pStyle w:val="Zkladntext"/>
        <w:spacing w:before="2"/>
        <w:rPr>
          <w:sz w:val="16"/>
        </w:rPr>
      </w:pPr>
    </w:p>
    <w:p w:rsidR="009F62AB" w:rsidRDefault="0001483F">
      <w:pPr>
        <w:pStyle w:val="Nadpis1"/>
        <w:spacing w:before="90"/>
        <w:ind w:left="218" w:firstLine="0"/>
      </w:pPr>
      <w:r>
        <w:t>Poleptání/podráždění kůže:</w:t>
      </w:r>
    </w:p>
    <w:p w:rsidR="009F62AB" w:rsidRDefault="0001483F">
      <w:pPr>
        <w:ind w:left="218"/>
        <w:rPr>
          <w:sz w:val="24"/>
        </w:rPr>
      </w:pPr>
      <w:r>
        <w:rPr>
          <w:i/>
          <w:sz w:val="24"/>
        </w:rPr>
        <w:t xml:space="preserve">Při styku s kůží: </w:t>
      </w:r>
      <w:r>
        <w:rPr>
          <w:sz w:val="24"/>
        </w:rPr>
        <w:t>Není pravděpodobné, že způsobí podráždění kůže.</w:t>
      </w:r>
    </w:p>
    <w:p w:rsidR="009F62AB" w:rsidRDefault="009F62AB">
      <w:pPr>
        <w:pStyle w:val="Zkladntext"/>
        <w:spacing w:before="2"/>
        <w:rPr>
          <w:sz w:val="16"/>
        </w:rPr>
      </w:pPr>
    </w:p>
    <w:p w:rsidR="009F62AB" w:rsidRDefault="0001483F">
      <w:pPr>
        <w:pStyle w:val="Nadpis1"/>
        <w:spacing w:before="90"/>
        <w:ind w:left="218" w:firstLine="0"/>
      </w:pPr>
      <w:r>
        <w:t>Vážné poškození očí/podráždění očí:</w:t>
      </w:r>
    </w:p>
    <w:p w:rsidR="009F62AB" w:rsidRDefault="0001483F">
      <w:pPr>
        <w:ind w:left="218"/>
        <w:rPr>
          <w:sz w:val="24"/>
        </w:rPr>
      </w:pPr>
      <w:r>
        <w:rPr>
          <w:i/>
          <w:sz w:val="24"/>
        </w:rPr>
        <w:t xml:space="preserve">Kontakt s očima: </w:t>
      </w:r>
      <w:r>
        <w:rPr>
          <w:sz w:val="24"/>
        </w:rPr>
        <w:t>Prach může způsobit podráždění.</w:t>
      </w:r>
    </w:p>
    <w:p w:rsidR="009F62AB" w:rsidRDefault="009F62AB">
      <w:pPr>
        <w:pStyle w:val="Zkladntext"/>
        <w:spacing w:before="2"/>
        <w:rPr>
          <w:sz w:val="16"/>
        </w:rPr>
      </w:pPr>
    </w:p>
    <w:p w:rsidR="009F62AB" w:rsidRDefault="0001483F">
      <w:pPr>
        <w:pStyle w:val="Zkladntext"/>
        <w:spacing w:before="90"/>
        <w:ind w:left="218" w:right="193"/>
      </w:pPr>
      <w:r>
        <w:rPr>
          <w:b/>
        </w:rPr>
        <w:t xml:space="preserve">Senzibilizace dýchacích cest nebo kůže: </w:t>
      </w:r>
      <w:r>
        <w:t>Vdechování: Nepravděpodobné, že by byl nebezpečný při vdechování. Obsahuje méně než 1 % zbytků (</w:t>
      </w:r>
      <w:proofErr w:type="spellStart"/>
      <w:r>
        <w:t>methymetakrylát</w:t>
      </w:r>
      <w:proofErr w:type="spellEnd"/>
      <w:r>
        <w:t xml:space="preserve">, </w:t>
      </w:r>
      <w:proofErr w:type="spellStart"/>
      <w:r>
        <w:t>dibenzoylperoxid</w:t>
      </w:r>
      <w:proofErr w:type="spellEnd"/>
      <w:r>
        <w:t>, kyselina barbiturová). Při běžné manipulaci to nepředstavuje žádné nebezpečí. Pokud je polymerní matrice zničena, např. když je produkt rozpuštěn v organickém rozpouštědle, uvolní se z polymerní matrice chemické zbytky. Za těchto podmínek mohou vyvolat alergickou reakci u již senzibilizovaných osob.</w:t>
      </w:r>
    </w:p>
    <w:p w:rsidR="009F62AB" w:rsidRDefault="009F62AB">
      <w:pPr>
        <w:pStyle w:val="Zkladntext"/>
        <w:spacing w:before="3"/>
        <w:rPr>
          <w:sz w:val="16"/>
        </w:rPr>
      </w:pPr>
    </w:p>
    <w:p w:rsidR="009F62AB" w:rsidRDefault="0001483F">
      <w:pPr>
        <w:pStyle w:val="Zkladntext"/>
        <w:spacing w:before="90"/>
        <w:ind w:left="218" w:right="232"/>
        <w:jc w:val="both"/>
      </w:pPr>
      <w:r>
        <w:rPr>
          <w:b/>
        </w:rPr>
        <w:t xml:space="preserve">Mutagenita v zárodečných buňkách: </w:t>
      </w:r>
      <w:r>
        <w:t>Na základě dostupných informací nejsou kritéria klasifikace splněna. Neobsahuje relevantní látku, která splňuje klasifikační kritéria.</w:t>
      </w:r>
    </w:p>
    <w:p w:rsidR="009F62AB" w:rsidRDefault="009F62AB">
      <w:pPr>
        <w:pStyle w:val="Zkladntext"/>
        <w:spacing w:before="2"/>
        <w:rPr>
          <w:sz w:val="16"/>
        </w:rPr>
      </w:pPr>
    </w:p>
    <w:p w:rsidR="009F62AB" w:rsidRDefault="0001483F">
      <w:pPr>
        <w:pStyle w:val="Zkladntext"/>
        <w:spacing w:before="90"/>
        <w:ind w:left="218"/>
      </w:pPr>
      <w:proofErr w:type="spellStart"/>
      <w:r>
        <w:rPr>
          <w:b/>
        </w:rPr>
        <w:t>Karcinogenita</w:t>
      </w:r>
      <w:proofErr w:type="spellEnd"/>
      <w:r>
        <w:rPr>
          <w:b/>
        </w:rPr>
        <w:t xml:space="preserve">: </w:t>
      </w:r>
      <w:r>
        <w:t>Na základě dostupných informací nejsou kritéria klasifikace splněna. Neobsahuje relevantní látku, která splňuje klasifikační kritéria.</w:t>
      </w:r>
    </w:p>
    <w:p w:rsidR="009F62AB" w:rsidRDefault="009F62AB">
      <w:pPr>
        <w:pStyle w:val="Zkladntext"/>
        <w:spacing w:before="2"/>
        <w:rPr>
          <w:sz w:val="16"/>
        </w:rPr>
      </w:pPr>
    </w:p>
    <w:p w:rsidR="009F62AB" w:rsidRDefault="0001483F">
      <w:pPr>
        <w:pStyle w:val="Zkladntext"/>
        <w:spacing w:before="90"/>
        <w:ind w:left="218" w:right="193"/>
      </w:pPr>
      <w:r>
        <w:rPr>
          <w:b/>
        </w:rPr>
        <w:t xml:space="preserve">Toxicita pro reprodukci: </w:t>
      </w:r>
      <w:r>
        <w:t>Na základě dostupných informací nejsou kritéria klasifikace splněna. Neobsahuje relevantní látku, která splňuje klasifikační kritéria.</w:t>
      </w:r>
    </w:p>
    <w:p w:rsidR="009F62AB" w:rsidRDefault="009F62AB">
      <w:pPr>
        <w:pStyle w:val="Zkladntext"/>
        <w:spacing w:before="3"/>
        <w:rPr>
          <w:sz w:val="16"/>
        </w:rPr>
      </w:pPr>
    </w:p>
    <w:p w:rsidR="009F62AB" w:rsidRDefault="0001483F">
      <w:pPr>
        <w:pStyle w:val="Nadpis1"/>
        <w:spacing w:before="90"/>
        <w:ind w:left="218" w:firstLine="0"/>
      </w:pPr>
      <w:r>
        <w:t>Toxicita pro specifické cílové orgány – jednorázová expozice:</w:t>
      </w:r>
    </w:p>
    <w:p w:rsidR="009F62AB" w:rsidRDefault="0001483F">
      <w:pPr>
        <w:pStyle w:val="Zkladntext"/>
        <w:ind w:left="218"/>
      </w:pPr>
      <w:r>
        <w:t>Toxikologické údaje nejsou k dispozici. Může způsobit podráždění dýchacích cest.</w:t>
      </w:r>
    </w:p>
    <w:p w:rsidR="009F62AB" w:rsidRDefault="009F62AB">
      <w:pPr>
        <w:pStyle w:val="Zkladntext"/>
        <w:spacing w:before="2"/>
        <w:rPr>
          <w:sz w:val="16"/>
        </w:rPr>
      </w:pPr>
    </w:p>
    <w:p w:rsidR="009F62AB" w:rsidRDefault="0001483F">
      <w:pPr>
        <w:spacing w:before="90"/>
        <w:ind w:left="218" w:right="193"/>
        <w:rPr>
          <w:sz w:val="24"/>
        </w:rPr>
      </w:pPr>
      <w:r>
        <w:rPr>
          <w:b/>
          <w:sz w:val="24"/>
        </w:rPr>
        <w:t xml:space="preserve">Toxicita pro specifické cílové orgány – opakovaná expozice: </w:t>
      </w:r>
      <w:r>
        <w:rPr>
          <w:sz w:val="24"/>
        </w:rPr>
        <w:t>Na základě dostupných informací nejsou kritéria klasifikace splněna.</w:t>
      </w:r>
    </w:p>
    <w:p w:rsidR="009F62AB" w:rsidRDefault="009F62AB">
      <w:pPr>
        <w:pStyle w:val="Zkladntext"/>
        <w:spacing w:before="2"/>
        <w:rPr>
          <w:sz w:val="16"/>
        </w:rPr>
      </w:pPr>
    </w:p>
    <w:p w:rsidR="009F62AB" w:rsidRDefault="0001483F">
      <w:pPr>
        <w:pStyle w:val="Zkladntext"/>
        <w:spacing w:before="90"/>
        <w:ind w:left="218"/>
      </w:pPr>
      <w:r>
        <w:rPr>
          <w:b/>
        </w:rPr>
        <w:t xml:space="preserve">Nebezpečnost při vdechnutí: </w:t>
      </w:r>
      <w:r>
        <w:t>Na základě dostupných informací nejsou kritéria klasifikace splněna.</w:t>
      </w:r>
    </w:p>
    <w:p w:rsidR="009F62AB" w:rsidRDefault="009F62AB">
      <w:pPr>
        <w:sectPr w:rsidR="009F62AB">
          <w:headerReference w:type="default" r:id="rId15"/>
          <w:footerReference w:type="default" r:id="rId16"/>
          <w:pgSz w:w="12250" w:h="15850"/>
          <w:pgMar w:top="2120" w:right="1560" w:bottom="1140" w:left="1580" w:header="738" w:footer="957" w:gutter="0"/>
          <w:pgNumType w:start="6"/>
          <w:cols w:space="708"/>
        </w:sectPr>
      </w:pPr>
    </w:p>
    <w:p w:rsidR="009F62AB" w:rsidRDefault="005D4CB0">
      <w:pPr>
        <w:pStyle w:val="Zkladntext"/>
        <w:ind w:left="100"/>
        <w:rPr>
          <w:sz w:val="20"/>
        </w:rPr>
      </w:pPr>
      <w:r>
        <w:rPr>
          <w:sz w:val="20"/>
        </w:rPr>
      </w:r>
      <w:r>
        <w:rPr>
          <w:sz w:val="20"/>
        </w:rPr>
        <w:pict>
          <v:group id="_x0000_s1042" style="width:444.2pt;height:15.4pt;mso-position-horizontal-relative:char;mso-position-vertical-relative:line" coordsize="8884,308">
            <v:line id="_x0000_s1045" style="position:absolute" from="10,302" to="8874,302" strokeweight=".48pt"/>
            <v:line id="_x0000_s1044" style="position:absolute" from="5,0" to="5,307" strokeweight=".48pt"/>
            <v:line id="_x0000_s1043" style="position:absolute" from="8879,0" to="8879,307" strokeweight=".48pt"/>
            <w10:anchorlock/>
          </v:group>
        </w:pict>
      </w:r>
    </w:p>
    <w:p w:rsidR="009F62AB" w:rsidRDefault="009F62AB">
      <w:pPr>
        <w:pStyle w:val="Zkladntext"/>
        <w:rPr>
          <w:sz w:val="20"/>
        </w:rPr>
      </w:pPr>
    </w:p>
    <w:p w:rsidR="009F62AB" w:rsidRDefault="009F62AB">
      <w:pPr>
        <w:pStyle w:val="Zkladntext"/>
        <w:rPr>
          <w:sz w:val="20"/>
        </w:rPr>
      </w:pPr>
    </w:p>
    <w:p w:rsidR="009F62AB" w:rsidRDefault="005D4CB0">
      <w:pPr>
        <w:pStyle w:val="Zkladntext"/>
        <w:spacing w:before="3"/>
        <w:rPr>
          <w:sz w:val="17"/>
        </w:rPr>
      </w:pPr>
      <w:r>
        <w:pict>
          <v:shape id="_x0000_s1041" type="#_x0000_t202" style="position:absolute;margin-left:84.25pt;margin-top:12.15pt;width:443.75pt;height:309.05pt;z-index:-251632640;mso-wrap-distance-left:0;mso-wrap-distance-right:0;mso-position-horizontal-relative:page" filled="f" strokeweight=".48pt">
            <v:textbox inset="0,0,0,0">
              <w:txbxContent>
                <w:p w:rsidR="005D4CB0" w:rsidRPr="005D4CB0" w:rsidRDefault="005D4CB0" w:rsidP="005D4CB0">
                  <w:pPr>
                    <w:pStyle w:val="Zkladntext"/>
                    <w:ind w:left="108"/>
                    <w:rPr>
                      <w:rFonts w:ascii="Arial" w:hAnsi="Arial" w:cs="Arial"/>
                      <w:b/>
                      <w:i/>
                      <w:szCs w:val="22"/>
                    </w:rPr>
                  </w:pPr>
                  <w:r w:rsidRPr="005D4CB0">
                    <w:rPr>
                      <w:rFonts w:ascii="Arial" w:hAnsi="Arial" w:cs="Arial"/>
                      <w:b/>
                      <w:i/>
                      <w:szCs w:val="22"/>
                    </w:rPr>
                    <w:t>ODDÍL 12: Ekologické informace</w:t>
                  </w:r>
                </w:p>
                <w:p w:rsidR="005D4CB0" w:rsidRPr="005D4CB0" w:rsidRDefault="005D4CB0" w:rsidP="005D4CB0">
                  <w:pPr>
                    <w:pStyle w:val="Zkladntext"/>
                    <w:ind w:left="108"/>
                    <w:rPr>
                      <w:b/>
                      <w:szCs w:val="22"/>
                    </w:rPr>
                  </w:pPr>
                  <w:r w:rsidRPr="005D4CB0">
                    <w:rPr>
                      <w:b/>
                      <w:szCs w:val="22"/>
                    </w:rPr>
                    <w:t>12.1 Toxicita</w:t>
                  </w:r>
                </w:p>
                <w:p w:rsidR="005D4CB0" w:rsidRPr="005D4CB0" w:rsidRDefault="005D4CB0" w:rsidP="005D4CB0">
                  <w:pPr>
                    <w:pStyle w:val="Zkladntext"/>
                    <w:ind w:left="108"/>
                    <w:rPr>
                      <w:szCs w:val="22"/>
                    </w:rPr>
                  </w:pPr>
                  <w:r w:rsidRPr="005D4CB0">
                    <w:rPr>
                      <w:szCs w:val="22"/>
                    </w:rPr>
                    <w:t>Předpokládá se, že tento přípravek není toxický pro Váš organismus.</w:t>
                  </w:r>
                </w:p>
                <w:p w:rsidR="005D4CB0" w:rsidRPr="005D4CB0" w:rsidRDefault="005D4CB0" w:rsidP="005D4CB0">
                  <w:pPr>
                    <w:pStyle w:val="Zkladntext"/>
                    <w:ind w:left="108"/>
                    <w:rPr>
                      <w:b/>
                      <w:szCs w:val="22"/>
                    </w:rPr>
                  </w:pPr>
                </w:p>
                <w:p w:rsidR="005D4CB0" w:rsidRPr="005D4CB0" w:rsidRDefault="005D4CB0" w:rsidP="005D4CB0">
                  <w:pPr>
                    <w:pStyle w:val="Zkladntext"/>
                    <w:ind w:left="108"/>
                    <w:rPr>
                      <w:b/>
                      <w:szCs w:val="22"/>
                    </w:rPr>
                  </w:pPr>
                  <w:r w:rsidRPr="005D4CB0">
                    <w:rPr>
                      <w:b/>
                      <w:szCs w:val="22"/>
                    </w:rPr>
                    <w:t xml:space="preserve">12.2 </w:t>
                  </w:r>
                  <w:proofErr w:type="spellStart"/>
                  <w:r w:rsidRPr="005D4CB0">
                    <w:rPr>
                      <w:b/>
                      <w:szCs w:val="22"/>
                    </w:rPr>
                    <w:t>Percistence</w:t>
                  </w:r>
                  <w:proofErr w:type="spellEnd"/>
                  <w:r w:rsidRPr="005D4CB0">
                    <w:rPr>
                      <w:b/>
                      <w:szCs w:val="22"/>
                    </w:rPr>
                    <w:t xml:space="preserve"> a rozložitelnost</w:t>
                  </w:r>
                </w:p>
                <w:p w:rsidR="005D4CB0" w:rsidRPr="005D4CB0" w:rsidRDefault="005D4CB0" w:rsidP="005D4CB0">
                  <w:pPr>
                    <w:pStyle w:val="Zkladntext"/>
                    <w:ind w:left="108"/>
                    <w:rPr>
                      <w:szCs w:val="22"/>
                    </w:rPr>
                  </w:pPr>
                  <w:r w:rsidRPr="005D4CB0">
                    <w:rPr>
                      <w:szCs w:val="22"/>
                    </w:rPr>
                    <w:t>Produkt není biologicky kompatibilní s půdě. Neexistují žádné důkazy nebo degradace v půdě a vodě.</w:t>
                  </w:r>
                </w:p>
                <w:p w:rsidR="005D4CB0" w:rsidRPr="005D4CB0" w:rsidRDefault="005D4CB0" w:rsidP="005D4CB0">
                  <w:pPr>
                    <w:pStyle w:val="Zkladntext"/>
                    <w:ind w:left="108"/>
                    <w:rPr>
                      <w:b/>
                      <w:szCs w:val="22"/>
                    </w:rPr>
                  </w:pPr>
                </w:p>
                <w:p w:rsidR="005D4CB0" w:rsidRPr="005D4CB0" w:rsidRDefault="005D4CB0" w:rsidP="005D4CB0">
                  <w:pPr>
                    <w:pStyle w:val="Zkladntext"/>
                    <w:ind w:left="108"/>
                    <w:rPr>
                      <w:b/>
                      <w:szCs w:val="22"/>
                    </w:rPr>
                  </w:pPr>
                  <w:r w:rsidRPr="005D4CB0">
                    <w:rPr>
                      <w:b/>
                      <w:szCs w:val="22"/>
                    </w:rPr>
                    <w:t>12.3 Bioakumulační potenciál</w:t>
                  </w:r>
                </w:p>
                <w:p w:rsidR="005D4CB0" w:rsidRPr="005D4CB0" w:rsidRDefault="005D4CB0" w:rsidP="005D4CB0">
                  <w:pPr>
                    <w:pStyle w:val="Zkladntext"/>
                    <w:ind w:left="108"/>
                    <w:rPr>
                      <w:szCs w:val="22"/>
                    </w:rPr>
                  </w:pPr>
                  <w:r w:rsidRPr="005D4CB0">
                    <w:rPr>
                      <w:szCs w:val="22"/>
                    </w:rPr>
                    <w:t xml:space="preserve">Produkt s velkým potenciálem pro </w:t>
                  </w:r>
                  <w:proofErr w:type="spellStart"/>
                  <w:r w:rsidRPr="005D4CB0">
                    <w:rPr>
                      <w:szCs w:val="22"/>
                    </w:rPr>
                    <w:t>bioakumulaci</w:t>
                  </w:r>
                  <w:proofErr w:type="spellEnd"/>
                  <w:r w:rsidRPr="005D4CB0">
                    <w:rPr>
                      <w:szCs w:val="22"/>
                    </w:rPr>
                    <w:t>.</w:t>
                  </w:r>
                </w:p>
                <w:p w:rsidR="005D4CB0" w:rsidRPr="005D4CB0" w:rsidRDefault="005D4CB0" w:rsidP="005D4CB0">
                  <w:pPr>
                    <w:pStyle w:val="Zkladntext"/>
                    <w:ind w:left="108"/>
                    <w:rPr>
                      <w:b/>
                      <w:szCs w:val="22"/>
                    </w:rPr>
                  </w:pPr>
                </w:p>
                <w:p w:rsidR="005D4CB0" w:rsidRPr="005D4CB0" w:rsidRDefault="005D4CB0" w:rsidP="005D4CB0">
                  <w:pPr>
                    <w:pStyle w:val="Zkladntext"/>
                    <w:ind w:left="108"/>
                    <w:rPr>
                      <w:b/>
                      <w:szCs w:val="22"/>
                    </w:rPr>
                  </w:pPr>
                  <w:r w:rsidRPr="005D4CB0">
                    <w:rPr>
                      <w:b/>
                      <w:szCs w:val="22"/>
                    </w:rPr>
                    <w:t>12.4 Mobilita v půdě</w:t>
                  </w:r>
                </w:p>
                <w:p w:rsidR="005D4CB0" w:rsidRPr="005D4CB0" w:rsidRDefault="005D4CB0" w:rsidP="005D4CB0">
                  <w:pPr>
                    <w:pStyle w:val="Zkladntext"/>
                    <w:ind w:left="108"/>
                    <w:rPr>
                      <w:szCs w:val="22"/>
                    </w:rPr>
                  </w:pPr>
                  <w:r w:rsidRPr="005D4CB0">
                    <w:rPr>
                      <w:szCs w:val="22"/>
                    </w:rPr>
                    <w:t>Předpokládá se, že produkt má nízkou mobilitu v půdě.</w:t>
                  </w:r>
                </w:p>
                <w:p w:rsidR="005D4CB0" w:rsidRPr="005D4CB0" w:rsidRDefault="005D4CB0" w:rsidP="005D4CB0">
                  <w:pPr>
                    <w:pStyle w:val="Zkladntext"/>
                    <w:ind w:left="108"/>
                    <w:rPr>
                      <w:szCs w:val="22"/>
                    </w:rPr>
                  </w:pPr>
                </w:p>
                <w:p w:rsidR="005D4CB0" w:rsidRPr="005D4CB0" w:rsidRDefault="005D4CB0" w:rsidP="005D4CB0">
                  <w:pPr>
                    <w:pStyle w:val="Zkladntext"/>
                    <w:ind w:left="108"/>
                    <w:rPr>
                      <w:b/>
                      <w:szCs w:val="22"/>
                    </w:rPr>
                  </w:pPr>
                  <w:r w:rsidRPr="005D4CB0">
                    <w:rPr>
                      <w:b/>
                      <w:szCs w:val="22"/>
                    </w:rPr>
                    <w:t xml:space="preserve">12.5 Výsledky posouzení PBT a </w:t>
                  </w:r>
                  <w:proofErr w:type="spellStart"/>
                  <w:r w:rsidRPr="005D4CB0">
                    <w:rPr>
                      <w:b/>
                      <w:szCs w:val="22"/>
                    </w:rPr>
                    <w:t>vPvB</w:t>
                  </w:r>
                  <w:proofErr w:type="spellEnd"/>
                </w:p>
                <w:p w:rsidR="005D4CB0" w:rsidRPr="005D4CB0" w:rsidRDefault="005D4CB0" w:rsidP="005D4CB0">
                  <w:pPr>
                    <w:pStyle w:val="Zkladntext"/>
                    <w:ind w:left="108"/>
                    <w:rPr>
                      <w:szCs w:val="22"/>
                    </w:rPr>
                  </w:pPr>
                  <w:r w:rsidRPr="005D4CB0">
                    <w:rPr>
                      <w:szCs w:val="22"/>
                    </w:rPr>
                    <w:t>Neklasifikován.</w:t>
                  </w:r>
                </w:p>
                <w:p w:rsidR="005D4CB0" w:rsidRPr="005D4CB0" w:rsidRDefault="005D4CB0" w:rsidP="005D4CB0">
                  <w:pPr>
                    <w:pStyle w:val="Zkladntext"/>
                    <w:ind w:left="108"/>
                    <w:rPr>
                      <w:szCs w:val="22"/>
                    </w:rPr>
                  </w:pPr>
                </w:p>
                <w:p w:rsidR="005D4CB0" w:rsidRPr="005D4CB0" w:rsidRDefault="005D4CB0" w:rsidP="005D4CB0">
                  <w:pPr>
                    <w:pStyle w:val="Zkladntext"/>
                    <w:ind w:left="108"/>
                    <w:rPr>
                      <w:b/>
                      <w:szCs w:val="22"/>
                    </w:rPr>
                  </w:pPr>
                  <w:r w:rsidRPr="005D4CB0">
                    <w:rPr>
                      <w:b/>
                      <w:szCs w:val="22"/>
                    </w:rPr>
                    <w:t>12.6 Vlastnosti narušující endokrinní systém</w:t>
                  </w:r>
                </w:p>
                <w:p w:rsidR="005D4CB0" w:rsidRPr="005D4CB0" w:rsidRDefault="005D4CB0" w:rsidP="005D4CB0">
                  <w:pPr>
                    <w:pStyle w:val="Zkladntext"/>
                    <w:ind w:left="108"/>
                    <w:rPr>
                      <w:szCs w:val="22"/>
                    </w:rPr>
                  </w:pPr>
                  <w:r w:rsidRPr="005D4CB0">
                    <w:rPr>
                      <w:szCs w:val="22"/>
                    </w:rPr>
                    <w:t>Nejsou k dispozici žádné údaje.</w:t>
                  </w:r>
                </w:p>
                <w:p w:rsidR="005D4CB0" w:rsidRPr="005D4CB0" w:rsidRDefault="005D4CB0" w:rsidP="005D4CB0">
                  <w:pPr>
                    <w:pStyle w:val="Zkladntext"/>
                    <w:ind w:left="108"/>
                    <w:rPr>
                      <w:szCs w:val="22"/>
                    </w:rPr>
                  </w:pPr>
                </w:p>
                <w:p w:rsidR="005D4CB0" w:rsidRPr="005D4CB0" w:rsidRDefault="005D4CB0" w:rsidP="005D4CB0">
                  <w:pPr>
                    <w:pStyle w:val="Zkladntext"/>
                    <w:ind w:left="108"/>
                    <w:rPr>
                      <w:b/>
                      <w:szCs w:val="22"/>
                    </w:rPr>
                  </w:pPr>
                  <w:r w:rsidRPr="005D4CB0">
                    <w:rPr>
                      <w:b/>
                      <w:szCs w:val="22"/>
                    </w:rPr>
                    <w:t>12.7 Jiné nepříznivé účinky</w:t>
                  </w:r>
                </w:p>
                <w:p w:rsidR="009F62AB" w:rsidRPr="005D4CB0" w:rsidRDefault="005D4CB0" w:rsidP="005D4CB0">
                  <w:pPr>
                    <w:pStyle w:val="Zkladntext"/>
                    <w:ind w:left="108"/>
                  </w:pPr>
                  <w:r w:rsidRPr="005D4CB0">
                    <w:rPr>
                      <w:szCs w:val="22"/>
                    </w:rPr>
                    <w:t>Neznámy.</w:t>
                  </w:r>
                </w:p>
              </w:txbxContent>
            </v:textbox>
            <w10:wrap type="topAndBottom" anchorx="page"/>
          </v:shape>
        </w:pict>
      </w:r>
    </w:p>
    <w:p w:rsidR="009F62AB" w:rsidRDefault="009F62AB">
      <w:pPr>
        <w:pStyle w:val="Zkladntext"/>
        <w:rPr>
          <w:sz w:val="20"/>
        </w:rPr>
      </w:pPr>
    </w:p>
    <w:p w:rsidR="009F62AB" w:rsidRDefault="005D4CB0">
      <w:pPr>
        <w:pStyle w:val="Zkladntext"/>
        <w:spacing w:before="2"/>
        <w:rPr>
          <w:sz w:val="17"/>
        </w:rPr>
      </w:pPr>
      <w:r>
        <w:pict>
          <v:shape id="_x0000_s1040" type="#_x0000_t202" style="position:absolute;margin-left:84.25pt;margin-top:12.1pt;width:443.75pt;height:74.4pt;z-index:-251631616;mso-wrap-distance-left:0;mso-wrap-distance-right:0;mso-position-horizontal-relative:page" filled="f" strokeweight=".48pt">
            <v:textbox inset="0,0,0,0">
              <w:txbxContent>
                <w:p w:rsidR="00B71205" w:rsidRPr="00B71205" w:rsidRDefault="00B71205" w:rsidP="00B71205">
                  <w:pPr>
                    <w:pStyle w:val="Zkladntext"/>
                    <w:ind w:left="108"/>
                    <w:rPr>
                      <w:b/>
                      <w:i/>
                      <w:szCs w:val="22"/>
                    </w:rPr>
                  </w:pPr>
                  <w:r w:rsidRPr="00B71205">
                    <w:rPr>
                      <w:b/>
                      <w:i/>
                      <w:szCs w:val="22"/>
                    </w:rPr>
                    <w:t>ODDÍL 13: Pokyny pro odstraňování</w:t>
                  </w:r>
                </w:p>
                <w:p w:rsidR="00B71205" w:rsidRPr="00B71205" w:rsidRDefault="00B71205" w:rsidP="00B71205">
                  <w:pPr>
                    <w:pStyle w:val="Zkladntext"/>
                    <w:ind w:left="108"/>
                    <w:rPr>
                      <w:b/>
                      <w:szCs w:val="22"/>
                    </w:rPr>
                  </w:pPr>
                  <w:r w:rsidRPr="00B71205">
                    <w:rPr>
                      <w:b/>
                      <w:szCs w:val="22"/>
                    </w:rPr>
                    <w:t>13.1. Metody nakládání s odpady</w:t>
                  </w:r>
                </w:p>
                <w:p w:rsidR="00B71205" w:rsidRPr="00B71205" w:rsidRDefault="00B71205" w:rsidP="00B71205">
                  <w:pPr>
                    <w:pStyle w:val="Zkladntext"/>
                    <w:ind w:left="108"/>
                    <w:rPr>
                      <w:szCs w:val="22"/>
                    </w:rPr>
                  </w:pPr>
                  <w:r w:rsidRPr="00B71205">
                    <w:rPr>
                      <w:szCs w:val="22"/>
                    </w:rPr>
                    <w:t>Odpad je považován za zdravotně nezávadný. Výrobek může být zlikvidován jako domovní odpad</w:t>
                  </w:r>
                </w:p>
                <w:p w:rsidR="009F62AB" w:rsidRPr="00B71205" w:rsidRDefault="00B71205" w:rsidP="00B71205">
                  <w:pPr>
                    <w:pStyle w:val="Zkladntext"/>
                    <w:ind w:left="108"/>
                  </w:pPr>
                  <w:r w:rsidRPr="00B71205">
                    <w:rPr>
                      <w:szCs w:val="22"/>
                    </w:rPr>
                    <w:t>a být spálen v souladu s místními předpisy.</w:t>
                  </w:r>
                </w:p>
              </w:txbxContent>
            </v:textbox>
            <w10:wrap type="topAndBottom" anchorx="page"/>
          </v:shape>
        </w:pict>
      </w:r>
    </w:p>
    <w:p w:rsidR="009F62AB" w:rsidRDefault="009F62AB">
      <w:pPr>
        <w:pStyle w:val="Zkladntext"/>
        <w:rPr>
          <w:sz w:val="20"/>
        </w:rPr>
      </w:pPr>
    </w:p>
    <w:p w:rsidR="009F62AB" w:rsidRDefault="009F62AB">
      <w:pPr>
        <w:pStyle w:val="Zkladntext"/>
        <w:spacing w:before="5" w:after="1"/>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021"/>
        <w:gridCol w:w="1908"/>
        <w:gridCol w:w="1548"/>
        <w:gridCol w:w="1547"/>
      </w:tblGrid>
      <w:tr w:rsidR="009F62AB">
        <w:trPr>
          <w:trHeight w:val="338"/>
        </w:trPr>
        <w:tc>
          <w:tcPr>
            <w:tcW w:w="8862" w:type="dxa"/>
            <w:gridSpan w:val="5"/>
            <w:tcBorders>
              <w:bottom w:val="double" w:sz="1" w:space="0" w:color="000000"/>
            </w:tcBorders>
          </w:tcPr>
          <w:p w:rsidR="009F62AB" w:rsidRDefault="0001483F">
            <w:pPr>
              <w:pStyle w:val="TableParagraph"/>
              <w:spacing w:before="19"/>
              <w:rPr>
                <w:rFonts w:ascii="Arial"/>
                <w:b/>
                <w:i/>
                <w:sz w:val="24"/>
              </w:rPr>
            </w:pPr>
            <w:r>
              <w:rPr>
                <w:rFonts w:ascii="Arial"/>
                <w:b/>
                <w:i/>
                <w:sz w:val="24"/>
              </w:rPr>
              <w:t>ODD</w:t>
            </w:r>
            <w:r>
              <w:rPr>
                <w:rFonts w:ascii="Arial"/>
                <w:b/>
                <w:i/>
                <w:sz w:val="24"/>
              </w:rPr>
              <w:t>Í</w:t>
            </w:r>
            <w:r>
              <w:rPr>
                <w:rFonts w:ascii="Arial"/>
                <w:b/>
                <w:i/>
                <w:sz w:val="24"/>
              </w:rPr>
              <w:t>L 14: Informace pro p</w:t>
            </w:r>
            <w:r>
              <w:rPr>
                <w:rFonts w:ascii="Arial"/>
                <w:b/>
                <w:i/>
                <w:sz w:val="24"/>
              </w:rPr>
              <w:t>ř</w:t>
            </w:r>
            <w:r>
              <w:rPr>
                <w:rFonts w:ascii="Arial"/>
                <w:b/>
                <w:i/>
                <w:sz w:val="24"/>
              </w:rPr>
              <w:t>epravu</w:t>
            </w:r>
          </w:p>
        </w:tc>
      </w:tr>
      <w:tr w:rsidR="009F62AB">
        <w:trPr>
          <w:trHeight w:val="485"/>
        </w:trPr>
        <w:tc>
          <w:tcPr>
            <w:tcW w:w="1838" w:type="dxa"/>
            <w:tcBorders>
              <w:top w:val="double" w:sz="1" w:space="0" w:color="000000"/>
            </w:tcBorders>
          </w:tcPr>
          <w:p w:rsidR="009F62AB" w:rsidRDefault="009F62AB">
            <w:pPr>
              <w:pStyle w:val="TableParagraph"/>
              <w:ind w:left="0"/>
            </w:pPr>
          </w:p>
        </w:tc>
        <w:tc>
          <w:tcPr>
            <w:tcW w:w="2021" w:type="dxa"/>
            <w:tcBorders>
              <w:top w:val="double" w:sz="1" w:space="0" w:color="000000"/>
            </w:tcBorders>
          </w:tcPr>
          <w:p w:rsidR="009F62AB" w:rsidRDefault="0001483F">
            <w:pPr>
              <w:pStyle w:val="TableParagraph"/>
              <w:spacing w:before="25" w:line="230" w:lineRule="atLeast"/>
              <w:ind w:left="108"/>
              <w:rPr>
                <w:b/>
                <w:sz w:val="20"/>
              </w:rPr>
            </w:pPr>
            <w:r>
              <w:rPr>
                <w:b/>
                <w:w w:val="95"/>
                <w:sz w:val="20"/>
              </w:rPr>
              <w:t xml:space="preserve">Pozemní silnice/železnice </w:t>
            </w:r>
            <w:r>
              <w:rPr>
                <w:b/>
                <w:sz w:val="20"/>
              </w:rPr>
              <w:t>(ADR/RID):</w:t>
            </w:r>
          </w:p>
        </w:tc>
        <w:tc>
          <w:tcPr>
            <w:tcW w:w="1908" w:type="dxa"/>
            <w:tcBorders>
              <w:top w:val="double" w:sz="1" w:space="0" w:color="000000"/>
            </w:tcBorders>
          </w:tcPr>
          <w:p w:rsidR="009F62AB" w:rsidRDefault="0001483F">
            <w:pPr>
              <w:pStyle w:val="TableParagraph"/>
              <w:spacing w:before="25" w:line="230" w:lineRule="atLeast"/>
              <w:ind w:left="108" w:right="242"/>
              <w:rPr>
                <w:b/>
                <w:sz w:val="20"/>
              </w:rPr>
            </w:pPr>
            <w:r>
              <w:rPr>
                <w:b/>
                <w:sz w:val="20"/>
              </w:rPr>
              <w:t>Vnitrozemské vodní cesty (ADNR):</w:t>
            </w:r>
          </w:p>
        </w:tc>
        <w:tc>
          <w:tcPr>
            <w:tcW w:w="1548" w:type="dxa"/>
            <w:tcBorders>
              <w:top w:val="double" w:sz="1" w:space="0" w:color="000000"/>
            </w:tcBorders>
          </w:tcPr>
          <w:p w:rsidR="009F62AB" w:rsidRDefault="0001483F">
            <w:pPr>
              <w:pStyle w:val="TableParagraph"/>
              <w:spacing w:before="25"/>
              <w:ind w:left="106"/>
              <w:rPr>
                <w:b/>
                <w:sz w:val="20"/>
              </w:rPr>
            </w:pPr>
            <w:r>
              <w:rPr>
                <w:b/>
                <w:sz w:val="20"/>
              </w:rPr>
              <w:t>Moře (IMDG):</w:t>
            </w:r>
          </w:p>
        </w:tc>
        <w:tc>
          <w:tcPr>
            <w:tcW w:w="1547" w:type="dxa"/>
            <w:tcBorders>
              <w:top w:val="double" w:sz="1" w:space="0" w:color="000000"/>
            </w:tcBorders>
          </w:tcPr>
          <w:p w:rsidR="009F62AB" w:rsidRDefault="0001483F">
            <w:pPr>
              <w:pStyle w:val="TableParagraph"/>
              <w:spacing w:before="25"/>
              <w:ind w:left="109"/>
              <w:rPr>
                <w:b/>
                <w:sz w:val="20"/>
              </w:rPr>
            </w:pPr>
            <w:r>
              <w:rPr>
                <w:b/>
                <w:sz w:val="20"/>
              </w:rPr>
              <w:t>Vzduch (IATA):</w:t>
            </w:r>
          </w:p>
        </w:tc>
      </w:tr>
      <w:tr w:rsidR="009F62AB">
        <w:trPr>
          <w:trHeight w:val="230"/>
        </w:trPr>
        <w:tc>
          <w:tcPr>
            <w:tcW w:w="1838" w:type="dxa"/>
          </w:tcPr>
          <w:p w:rsidR="009F62AB" w:rsidRDefault="0001483F">
            <w:pPr>
              <w:pStyle w:val="TableParagraph"/>
              <w:spacing w:line="210" w:lineRule="exact"/>
              <w:rPr>
                <w:b/>
                <w:sz w:val="20"/>
              </w:rPr>
            </w:pPr>
            <w:r>
              <w:rPr>
                <w:b/>
                <w:sz w:val="20"/>
              </w:rPr>
              <w:t>14.1 UN číslo</w:t>
            </w:r>
          </w:p>
        </w:tc>
        <w:tc>
          <w:tcPr>
            <w:tcW w:w="7024" w:type="dxa"/>
            <w:gridSpan w:val="4"/>
          </w:tcPr>
          <w:p w:rsidR="009F62AB" w:rsidRDefault="0001483F">
            <w:pPr>
              <w:pStyle w:val="TableParagraph"/>
              <w:spacing w:line="210" w:lineRule="exact"/>
              <w:ind w:left="108"/>
              <w:rPr>
                <w:sz w:val="20"/>
              </w:rPr>
            </w:pPr>
            <w:r>
              <w:rPr>
                <w:sz w:val="20"/>
              </w:rPr>
              <w:t>Nejsou k dispozici žádné údaje</w:t>
            </w:r>
          </w:p>
        </w:tc>
      </w:tr>
      <w:tr w:rsidR="009F62AB">
        <w:trPr>
          <w:trHeight w:val="460"/>
        </w:trPr>
        <w:tc>
          <w:tcPr>
            <w:tcW w:w="1838" w:type="dxa"/>
          </w:tcPr>
          <w:p w:rsidR="009F62AB" w:rsidRDefault="0001483F">
            <w:pPr>
              <w:pStyle w:val="TableParagraph"/>
              <w:spacing w:line="230" w:lineRule="atLeast"/>
              <w:ind w:right="373"/>
              <w:rPr>
                <w:b/>
                <w:sz w:val="20"/>
              </w:rPr>
            </w:pPr>
            <w:r>
              <w:rPr>
                <w:b/>
                <w:sz w:val="20"/>
              </w:rPr>
              <w:t>14.2 Správný název pro zásilku OSN</w:t>
            </w:r>
          </w:p>
        </w:tc>
        <w:tc>
          <w:tcPr>
            <w:tcW w:w="7024" w:type="dxa"/>
            <w:gridSpan w:val="4"/>
          </w:tcPr>
          <w:p w:rsidR="009F62AB" w:rsidRDefault="0001483F">
            <w:pPr>
              <w:pStyle w:val="TableParagraph"/>
              <w:ind w:left="108"/>
              <w:rPr>
                <w:sz w:val="20"/>
              </w:rPr>
            </w:pPr>
            <w:r>
              <w:rPr>
                <w:sz w:val="20"/>
              </w:rPr>
              <w:t>Nejsou k dispozici žádné údaje</w:t>
            </w:r>
          </w:p>
        </w:tc>
      </w:tr>
      <w:tr w:rsidR="009F62AB">
        <w:trPr>
          <w:trHeight w:val="457"/>
        </w:trPr>
        <w:tc>
          <w:tcPr>
            <w:tcW w:w="1838" w:type="dxa"/>
          </w:tcPr>
          <w:p w:rsidR="009F62AB" w:rsidRDefault="0001483F">
            <w:pPr>
              <w:pStyle w:val="TableParagraph"/>
              <w:spacing w:before="4" w:line="228" w:lineRule="exact"/>
              <w:ind w:right="351"/>
              <w:rPr>
                <w:b/>
                <w:sz w:val="20"/>
              </w:rPr>
            </w:pPr>
            <w:r>
              <w:rPr>
                <w:b/>
                <w:sz w:val="20"/>
              </w:rPr>
              <w:t xml:space="preserve">14.3 </w:t>
            </w:r>
            <w:proofErr w:type="gramStart"/>
            <w:r>
              <w:rPr>
                <w:b/>
                <w:sz w:val="20"/>
              </w:rPr>
              <w:t>Třída(y) nebezpečnosti</w:t>
            </w:r>
            <w:proofErr w:type="gramEnd"/>
            <w:r>
              <w:rPr>
                <w:b/>
                <w:sz w:val="20"/>
              </w:rPr>
              <w:t xml:space="preserve"> pro přepravu</w:t>
            </w:r>
          </w:p>
        </w:tc>
        <w:tc>
          <w:tcPr>
            <w:tcW w:w="7024" w:type="dxa"/>
            <w:gridSpan w:val="4"/>
          </w:tcPr>
          <w:p w:rsidR="009F62AB" w:rsidRDefault="0001483F">
            <w:pPr>
              <w:pStyle w:val="TableParagraph"/>
              <w:ind w:left="108"/>
              <w:rPr>
                <w:sz w:val="20"/>
              </w:rPr>
            </w:pPr>
            <w:r>
              <w:rPr>
                <w:sz w:val="20"/>
              </w:rPr>
              <w:t>Nejsou k dispozici žádné údaje</w:t>
            </w:r>
          </w:p>
        </w:tc>
      </w:tr>
      <w:tr w:rsidR="009F62AB">
        <w:trPr>
          <w:trHeight w:val="230"/>
        </w:trPr>
        <w:tc>
          <w:tcPr>
            <w:tcW w:w="1838" w:type="dxa"/>
          </w:tcPr>
          <w:p w:rsidR="009F62AB" w:rsidRDefault="0001483F">
            <w:pPr>
              <w:pStyle w:val="TableParagraph"/>
              <w:spacing w:line="210" w:lineRule="exact"/>
              <w:rPr>
                <w:b/>
                <w:sz w:val="20"/>
              </w:rPr>
            </w:pPr>
            <w:r>
              <w:rPr>
                <w:b/>
                <w:sz w:val="20"/>
              </w:rPr>
              <w:t>14.4 Balení</w:t>
            </w:r>
          </w:p>
        </w:tc>
        <w:tc>
          <w:tcPr>
            <w:tcW w:w="7024" w:type="dxa"/>
            <w:gridSpan w:val="4"/>
          </w:tcPr>
          <w:p w:rsidR="009F62AB" w:rsidRDefault="0001483F">
            <w:pPr>
              <w:pStyle w:val="TableParagraph"/>
              <w:spacing w:line="210" w:lineRule="exact"/>
              <w:ind w:left="108"/>
              <w:rPr>
                <w:sz w:val="20"/>
              </w:rPr>
            </w:pPr>
            <w:r>
              <w:rPr>
                <w:sz w:val="20"/>
              </w:rPr>
              <w:t>Nejsou k dispozici žádné údaje</w:t>
            </w:r>
          </w:p>
        </w:tc>
      </w:tr>
    </w:tbl>
    <w:p w:rsidR="009F62AB" w:rsidRDefault="009F62AB">
      <w:pPr>
        <w:spacing w:line="210" w:lineRule="exact"/>
        <w:rPr>
          <w:sz w:val="20"/>
        </w:rPr>
        <w:sectPr w:rsidR="009F62AB">
          <w:pgSz w:w="12250" w:h="15850"/>
          <w:pgMar w:top="2120" w:right="1560" w:bottom="1140" w:left="1580" w:header="738" w:footer="957"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026"/>
      </w:tblGrid>
      <w:tr w:rsidR="009F62AB">
        <w:trPr>
          <w:trHeight w:val="230"/>
        </w:trPr>
        <w:tc>
          <w:tcPr>
            <w:tcW w:w="1838" w:type="dxa"/>
          </w:tcPr>
          <w:p w:rsidR="009F62AB" w:rsidRDefault="0001483F">
            <w:pPr>
              <w:pStyle w:val="TableParagraph"/>
              <w:spacing w:line="210" w:lineRule="exact"/>
              <w:rPr>
                <w:b/>
                <w:sz w:val="20"/>
              </w:rPr>
            </w:pPr>
            <w:r>
              <w:rPr>
                <w:b/>
                <w:sz w:val="20"/>
              </w:rPr>
              <w:t>skupina</w:t>
            </w:r>
          </w:p>
        </w:tc>
        <w:tc>
          <w:tcPr>
            <w:tcW w:w="7026" w:type="dxa"/>
          </w:tcPr>
          <w:p w:rsidR="009F62AB" w:rsidRDefault="009F62AB">
            <w:pPr>
              <w:pStyle w:val="TableParagraph"/>
              <w:ind w:left="0"/>
              <w:rPr>
                <w:sz w:val="16"/>
              </w:rPr>
            </w:pPr>
          </w:p>
        </w:tc>
      </w:tr>
      <w:tr w:rsidR="009F62AB">
        <w:trPr>
          <w:trHeight w:val="690"/>
        </w:trPr>
        <w:tc>
          <w:tcPr>
            <w:tcW w:w="1838" w:type="dxa"/>
          </w:tcPr>
          <w:p w:rsidR="009F62AB" w:rsidRDefault="0001483F">
            <w:pPr>
              <w:pStyle w:val="TableParagraph"/>
              <w:rPr>
                <w:b/>
                <w:sz w:val="20"/>
              </w:rPr>
            </w:pPr>
            <w:r>
              <w:rPr>
                <w:b/>
                <w:sz w:val="20"/>
              </w:rPr>
              <w:t>14.5</w:t>
            </w:r>
          </w:p>
          <w:p w:rsidR="009F62AB" w:rsidRDefault="0001483F">
            <w:pPr>
              <w:pStyle w:val="TableParagraph"/>
              <w:spacing w:line="230" w:lineRule="atLeast"/>
              <w:ind w:right="412"/>
              <w:rPr>
                <w:b/>
                <w:sz w:val="20"/>
              </w:rPr>
            </w:pPr>
            <w:r>
              <w:rPr>
                <w:b/>
                <w:sz w:val="20"/>
              </w:rPr>
              <w:t>Nebezpečí pro životní prostředí</w:t>
            </w:r>
          </w:p>
        </w:tc>
        <w:tc>
          <w:tcPr>
            <w:tcW w:w="7026" w:type="dxa"/>
          </w:tcPr>
          <w:p w:rsidR="009F62AB" w:rsidRDefault="0001483F">
            <w:pPr>
              <w:pStyle w:val="TableParagraph"/>
              <w:ind w:left="108"/>
              <w:rPr>
                <w:sz w:val="20"/>
              </w:rPr>
            </w:pPr>
            <w:r>
              <w:rPr>
                <w:sz w:val="20"/>
              </w:rPr>
              <w:t>Nejsou k dispozici žádné údaje</w:t>
            </w:r>
          </w:p>
        </w:tc>
      </w:tr>
      <w:tr w:rsidR="009F62AB">
        <w:trPr>
          <w:trHeight w:val="688"/>
        </w:trPr>
        <w:tc>
          <w:tcPr>
            <w:tcW w:w="1838" w:type="dxa"/>
          </w:tcPr>
          <w:p w:rsidR="009F62AB" w:rsidRDefault="0001483F">
            <w:pPr>
              <w:pStyle w:val="TableParagraph"/>
              <w:rPr>
                <w:b/>
                <w:sz w:val="20"/>
              </w:rPr>
            </w:pPr>
            <w:r>
              <w:rPr>
                <w:b/>
                <w:sz w:val="20"/>
              </w:rPr>
              <w:t>14.6 Speciální</w:t>
            </w:r>
          </w:p>
          <w:p w:rsidR="009F62AB" w:rsidRDefault="0001483F">
            <w:pPr>
              <w:pStyle w:val="TableParagraph"/>
              <w:spacing w:before="5" w:line="228" w:lineRule="exact"/>
              <w:ind w:right="395"/>
              <w:rPr>
                <w:b/>
                <w:sz w:val="20"/>
              </w:rPr>
            </w:pPr>
            <w:r>
              <w:rPr>
                <w:b/>
                <w:sz w:val="20"/>
              </w:rPr>
              <w:t>opatření pro uživatele</w:t>
            </w:r>
          </w:p>
        </w:tc>
        <w:tc>
          <w:tcPr>
            <w:tcW w:w="7026" w:type="dxa"/>
          </w:tcPr>
          <w:p w:rsidR="009F62AB" w:rsidRDefault="0001483F">
            <w:pPr>
              <w:pStyle w:val="TableParagraph"/>
              <w:ind w:left="108"/>
              <w:rPr>
                <w:sz w:val="20"/>
              </w:rPr>
            </w:pPr>
            <w:r>
              <w:rPr>
                <w:sz w:val="20"/>
              </w:rPr>
              <w:t>Žádná zvláštní opatření</w:t>
            </w:r>
          </w:p>
        </w:tc>
      </w:tr>
      <w:tr w:rsidR="009F62AB">
        <w:trPr>
          <w:trHeight w:val="914"/>
        </w:trPr>
        <w:tc>
          <w:tcPr>
            <w:tcW w:w="1838" w:type="dxa"/>
            <w:tcBorders>
              <w:bottom w:val="double" w:sz="1" w:space="0" w:color="000000"/>
            </w:tcBorders>
          </w:tcPr>
          <w:p w:rsidR="009F62AB" w:rsidRDefault="0001483F">
            <w:pPr>
              <w:pStyle w:val="TableParagraph"/>
              <w:spacing w:line="230" w:lineRule="exact"/>
              <w:ind w:right="167"/>
              <w:rPr>
                <w:b/>
                <w:sz w:val="20"/>
              </w:rPr>
            </w:pPr>
            <w:r>
              <w:rPr>
                <w:b/>
                <w:sz w:val="20"/>
              </w:rPr>
              <w:t>14.7 Hromadná námořní přeprava podle nástrojů IMO</w:t>
            </w:r>
          </w:p>
        </w:tc>
        <w:tc>
          <w:tcPr>
            <w:tcW w:w="7026" w:type="dxa"/>
            <w:tcBorders>
              <w:bottom w:val="double" w:sz="1" w:space="0" w:color="000000"/>
            </w:tcBorders>
          </w:tcPr>
          <w:p w:rsidR="009F62AB" w:rsidRDefault="0001483F">
            <w:pPr>
              <w:pStyle w:val="TableParagraph"/>
              <w:spacing w:line="228" w:lineRule="exact"/>
              <w:ind w:left="108"/>
              <w:rPr>
                <w:sz w:val="20"/>
              </w:rPr>
            </w:pPr>
            <w:r>
              <w:rPr>
                <w:sz w:val="20"/>
              </w:rPr>
              <w:t>Nejsou k dispozici žádné údaje</w:t>
            </w:r>
          </w:p>
        </w:tc>
      </w:tr>
      <w:tr w:rsidR="009F62AB">
        <w:trPr>
          <w:trHeight w:val="304"/>
        </w:trPr>
        <w:tc>
          <w:tcPr>
            <w:tcW w:w="8864" w:type="dxa"/>
            <w:gridSpan w:val="2"/>
            <w:tcBorders>
              <w:top w:val="double" w:sz="1" w:space="0" w:color="000000"/>
            </w:tcBorders>
          </w:tcPr>
          <w:p w:rsidR="009F62AB" w:rsidRDefault="0001483F">
            <w:pPr>
              <w:pStyle w:val="TableParagraph"/>
              <w:spacing w:before="8"/>
              <w:rPr>
                <w:sz w:val="24"/>
              </w:rPr>
            </w:pPr>
            <w:r>
              <w:rPr>
                <w:sz w:val="24"/>
              </w:rPr>
              <w:t>Nejedná se o nebezpečný výrobek ve smyslu přepravních předpisů.</w:t>
            </w:r>
          </w:p>
        </w:tc>
      </w:tr>
    </w:tbl>
    <w:p w:rsidR="009F62AB" w:rsidRDefault="009F62AB">
      <w:pPr>
        <w:pStyle w:val="Zkladntext"/>
        <w:rPr>
          <w:sz w:val="20"/>
        </w:rPr>
      </w:pPr>
    </w:p>
    <w:p w:rsidR="009F62AB" w:rsidRDefault="005D4CB0">
      <w:pPr>
        <w:pStyle w:val="Zkladntext"/>
        <w:spacing w:before="7"/>
        <w:rPr>
          <w:sz w:val="19"/>
        </w:rPr>
      </w:pPr>
      <w:r>
        <w:pict>
          <v:shape id="_x0000_s1039" type="#_x0000_t202" style="position:absolute;margin-left:84.25pt;margin-top:13.5pt;width:443.75pt;height:129.6pt;z-index:-251630592;mso-wrap-distance-left:0;mso-wrap-distance-right:0;mso-position-horizontal-relative:page" filled="f" strokeweight=".48pt">
            <v:textbox inset="0,0,0,0">
              <w:txbxContent>
                <w:p w:rsidR="00503E71" w:rsidRPr="00503E71" w:rsidRDefault="00503E71" w:rsidP="00503E71">
                  <w:pPr>
                    <w:pStyle w:val="Zkladntext"/>
                    <w:ind w:left="108"/>
                    <w:jc w:val="both"/>
                    <w:rPr>
                      <w:rFonts w:ascii="Arial" w:hAnsi="Arial" w:cs="Arial"/>
                      <w:b/>
                      <w:i/>
                      <w:szCs w:val="22"/>
                    </w:rPr>
                  </w:pPr>
                  <w:r w:rsidRPr="00503E71">
                    <w:rPr>
                      <w:rFonts w:ascii="Arial" w:hAnsi="Arial" w:cs="Arial"/>
                      <w:b/>
                      <w:i/>
                      <w:szCs w:val="22"/>
                    </w:rPr>
                    <w:t>ODDÍL 15: Informace o předpisech</w:t>
                  </w:r>
                </w:p>
                <w:p w:rsidR="00503E71" w:rsidRPr="00503E71" w:rsidRDefault="00503E71" w:rsidP="00503E71">
                  <w:pPr>
                    <w:pStyle w:val="Zkladntext"/>
                    <w:ind w:left="108"/>
                    <w:jc w:val="both"/>
                    <w:rPr>
                      <w:b/>
                      <w:szCs w:val="22"/>
                    </w:rPr>
                  </w:pPr>
                  <w:r w:rsidRPr="00503E71">
                    <w:rPr>
                      <w:b/>
                      <w:szCs w:val="22"/>
                    </w:rPr>
                    <w:t>15.1 Nařízení týkající se bezpečnosti, zdraví a životního prostředí/specifické právní předpisy týkající se látky nebo směsi</w:t>
                  </w:r>
                </w:p>
                <w:p w:rsidR="00503E71" w:rsidRPr="00503E71" w:rsidRDefault="00503E71" w:rsidP="00503E71">
                  <w:pPr>
                    <w:pStyle w:val="Zkladntext"/>
                    <w:ind w:left="108"/>
                    <w:jc w:val="both"/>
                    <w:rPr>
                      <w:szCs w:val="22"/>
                    </w:rPr>
                  </w:pPr>
                  <w:r w:rsidRPr="00503E71">
                    <w:rPr>
                      <w:szCs w:val="22"/>
                    </w:rPr>
                    <w:t>Polymery nejsou nebezpečné pro zdraví ani životní prostředí a nespadají pod zvláštní klasifikaci označování pro nebezpečné a nebezpečné výrobky podle nařízení č. 1272/2008.</w:t>
                  </w:r>
                </w:p>
                <w:p w:rsidR="00503E71" w:rsidRPr="00503E71" w:rsidRDefault="00503E71" w:rsidP="00503E71">
                  <w:pPr>
                    <w:pStyle w:val="Zkladntext"/>
                    <w:ind w:left="108"/>
                    <w:jc w:val="both"/>
                    <w:rPr>
                      <w:szCs w:val="22"/>
                    </w:rPr>
                  </w:pPr>
                </w:p>
                <w:p w:rsidR="00503E71" w:rsidRPr="00503E71" w:rsidRDefault="00503E71" w:rsidP="00503E71">
                  <w:pPr>
                    <w:pStyle w:val="Zkladntext"/>
                    <w:ind w:left="108"/>
                    <w:jc w:val="both"/>
                    <w:rPr>
                      <w:b/>
                      <w:szCs w:val="22"/>
                    </w:rPr>
                  </w:pPr>
                  <w:r w:rsidRPr="00503E71">
                    <w:rPr>
                      <w:b/>
                      <w:szCs w:val="22"/>
                    </w:rPr>
                    <w:t>15.2 Posouzení chemické bezpečnosti</w:t>
                  </w:r>
                </w:p>
                <w:p w:rsidR="009F62AB" w:rsidRPr="00503E71" w:rsidRDefault="00503E71" w:rsidP="00503E71">
                  <w:pPr>
                    <w:pStyle w:val="Zkladntext"/>
                    <w:ind w:left="108"/>
                    <w:jc w:val="both"/>
                  </w:pPr>
                  <w:r w:rsidRPr="00503E71">
                    <w:rPr>
                      <w:szCs w:val="22"/>
                    </w:rPr>
                    <w:t>Nejsou k dispozici žádné údaje.</w:t>
                  </w:r>
                </w:p>
              </w:txbxContent>
            </v:textbox>
            <w10:wrap type="topAndBottom" anchorx="page"/>
          </v:shape>
        </w:pict>
      </w:r>
    </w:p>
    <w:p w:rsidR="009F62AB" w:rsidRDefault="009F62AB">
      <w:pPr>
        <w:pStyle w:val="Zkladntext"/>
        <w:rPr>
          <w:sz w:val="20"/>
        </w:rPr>
      </w:pPr>
    </w:p>
    <w:p w:rsidR="009F62AB" w:rsidRDefault="005D4CB0">
      <w:pPr>
        <w:pStyle w:val="Zkladntext"/>
        <w:spacing w:before="8"/>
        <w:rPr>
          <w:sz w:val="18"/>
        </w:rPr>
      </w:pPr>
      <w:r>
        <w:pict>
          <v:group id="_x0000_s1034" style="position:absolute;margin-left:84pt;margin-top:13pt;width:444.2pt;height:266.7pt;z-index:-251628544;mso-wrap-distance-left:0;mso-wrap-distance-right:0;mso-position-horizontal-relative:page" coordorigin="1680,260" coordsize="8884,5334">
            <v:line id="_x0000_s1038" style="position:absolute" from="1690,264" to="10555,264" strokeweight=".48pt"/>
            <v:line id="_x0000_s1037" style="position:absolute" from="10560,260" to="10560,5593" strokeweight=".48pt"/>
            <v:line id="_x0000_s1036" style="position:absolute" from="1685,260" to="1685,5593" strokeweight=".48pt"/>
            <v:shape id="_x0000_s1035" type="#_x0000_t202" style="position:absolute;left:1680;top:259;width:8884;height:5334" filled="f" stroked="f">
              <v:textbox inset="0,0,0,0">
                <w:txbxContent>
                  <w:p w:rsidR="00B71205" w:rsidRPr="00B71205" w:rsidRDefault="00B71205" w:rsidP="00B71205">
                    <w:pPr>
                      <w:ind w:left="117"/>
                      <w:rPr>
                        <w:rFonts w:ascii="Arial" w:hAnsi="Arial" w:cs="Arial"/>
                        <w:b/>
                        <w:sz w:val="24"/>
                      </w:rPr>
                    </w:pPr>
                    <w:r w:rsidRPr="00B71205">
                      <w:rPr>
                        <w:rFonts w:ascii="Arial" w:hAnsi="Arial" w:cs="Arial"/>
                        <w:b/>
                        <w:sz w:val="24"/>
                      </w:rPr>
                      <w:t>ODDÍL 16: Další informace</w:t>
                    </w:r>
                  </w:p>
                  <w:p w:rsidR="00B71205" w:rsidRPr="00B71205" w:rsidRDefault="00B71205" w:rsidP="00B71205">
                    <w:pPr>
                      <w:ind w:left="117"/>
                      <w:rPr>
                        <w:i/>
                        <w:sz w:val="24"/>
                      </w:rPr>
                    </w:pPr>
                    <w:r w:rsidRPr="00B71205">
                      <w:rPr>
                        <w:i/>
                        <w:sz w:val="24"/>
                      </w:rPr>
                      <w:t>Revize:</w:t>
                    </w:r>
                  </w:p>
                  <w:p w:rsidR="00B71205" w:rsidRPr="00B71205" w:rsidRDefault="00B71205" w:rsidP="00B71205">
                    <w:pPr>
                      <w:ind w:left="117"/>
                      <w:rPr>
                        <w:sz w:val="24"/>
                      </w:rPr>
                    </w:pPr>
                    <w:r w:rsidRPr="00B71205">
                      <w:rPr>
                        <w:sz w:val="24"/>
                      </w:rPr>
                      <w:t>Verze 06 vydaná v prosinci 2022 v souladu s EC 1907/2006 (Nařízení Komise</w:t>
                    </w:r>
                    <w:r>
                      <w:rPr>
                        <w:sz w:val="24"/>
                      </w:rPr>
                      <w:t xml:space="preserve"> (EU) 2015/830) a EC 1272/2008.</w:t>
                    </w:r>
                  </w:p>
                  <w:p w:rsidR="00B71205" w:rsidRPr="00B71205" w:rsidRDefault="00B71205" w:rsidP="00B71205">
                    <w:pPr>
                      <w:ind w:left="117"/>
                      <w:rPr>
                        <w:sz w:val="24"/>
                      </w:rPr>
                    </w:pPr>
                    <w:r w:rsidRPr="00B71205">
                      <w:rPr>
                        <w:sz w:val="24"/>
                      </w:rPr>
                      <w:t>Revize v souladu se změnami v NAŘÍZENÍ KOMISE (EU) 2020/878, kterým se mění příloha II nařízení Evropského parlamentu a Rady (ES) č. 1907/2006 o registraci, hodnocení, povolování a omezování chemických látek (REACH).</w:t>
                    </w:r>
                  </w:p>
                  <w:p w:rsidR="00B71205" w:rsidRPr="00B71205" w:rsidRDefault="00B71205" w:rsidP="00B71205">
                    <w:pPr>
                      <w:ind w:firstLine="117"/>
                      <w:rPr>
                        <w:sz w:val="24"/>
                      </w:rPr>
                    </w:pPr>
                    <w:r w:rsidRPr="00B71205">
                      <w:rPr>
                        <w:sz w:val="24"/>
                      </w:rPr>
                      <w:t>Legenda ke zkratkám:</w:t>
                    </w:r>
                  </w:p>
                  <w:p w:rsidR="00B71205" w:rsidRPr="00B71205" w:rsidRDefault="00B71205" w:rsidP="00B71205">
                    <w:pPr>
                      <w:ind w:left="117"/>
                      <w:rPr>
                        <w:sz w:val="24"/>
                      </w:rPr>
                    </w:pPr>
                    <w:proofErr w:type="spellStart"/>
                    <w:r w:rsidRPr="00B71205">
                      <w:rPr>
                        <w:sz w:val="24"/>
                      </w:rPr>
                      <w:t>Dibenzoylperoxidy</w:t>
                    </w:r>
                    <w:proofErr w:type="spellEnd"/>
                  </w:p>
                  <w:p w:rsidR="00B71205" w:rsidRPr="00B71205" w:rsidRDefault="00B71205" w:rsidP="00B71205">
                    <w:pPr>
                      <w:ind w:left="117"/>
                      <w:rPr>
                        <w:sz w:val="24"/>
                      </w:rPr>
                    </w:pPr>
                    <w:r w:rsidRPr="00B71205">
                      <w:rPr>
                        <w:sz w:val="24"/>
                      </w:rPr>
                      <w:t>H241 Vysoce hořlavá kapalina a páry. H317 Může vyvolat alergickou kožní reakci. H319 Způsobuje vážné podráždění očí.</w:t>
                    </w:r>
                  </w:p>
                  <w:p w:rsidR="00B71205" w:rsidRPr="00B71205" w:rsidRDefault="00B71205" w:rsidP="00B71205">
                    <w:pPr>
                      <w:ind w:left="117"/>
                      <w:rPr>
                        <w:sz w:val="24"/>
                      </w:rPr>
                    </w:pPr>
                    <w:r w:rsidRPr="00B71205">
                      <w:rPr>
                        <w:sz w:val="24"/>
                      </w:rPr>
                      <w:t xml:space="preserve">H400 Vysoce toxický pro vodní organismy. </w:t>
                    </w:r>
                    <w:proofErr w:type="gramStart"/>
                    <w:r w:rsidRPr="00B71205">
                      <w:rPr>
                        <w:sz w:val="24"/>
                      </w:rPr>
                      <w:t>kyselina</w:t>
                    </w:r>
                    <w:proofErr w:type="gramEnd"/>
                    <w:r w:rsidRPr="00B71205">
                      <w:rPr>
                        <w:sz w:val="24"/>
                      </w:rPr>
                      <w:t xml:space="preserve"> 1-benzyl-5-fenylbarbiturová H315 Dráždí kůži.</w:t>
                    </w:r>
                  </w:p>
                  <w:p w:rsidR="009F62AB" w:rsidRPr="00B71205" w:rsidRDefault="00B71205" w:rsidP="00B71205">
                    <w:pPr>
                      <w:ind w:left="117"/>
                      <w:rPr>
                        <w:sz w:val="24"/>
                      </w:rPr>
                    </w:pPr>
                    <w:r w:rsidRPr="00B71205">
                      <w:rPr>
                        <w:sz w:val="24"/>
                      </w:rPr>
                      <w:t>H319 Způsobuje vážné podráždění očí.</w:t>
                    </w:r>
                  </w:p>
                </w:txbxContent>
              </v:textbox>
            </v:shape>
            <w10:wrap type="topAndBottom" anchorx="page"/>
          </v:group>
        </w:pict>
      </w:r>
    </w:p>
    <w:p w:rsidR="009F62AB" w:rsidRDefault="009F62AB">
      <w:pPr>
        <w:rPr>
          <w:sz w:val="18"/>
        </w:rPr>
        <w:sectPr w:rsidR="009F62AB">
          <w:pgSz w:w="12250" w:h="15850"/>
          <w:pgMar w:top="2120" w:right="1560" w:bottom="1140" w:left="1580" w:header="738" w:footer="957" w:gutter="0"/>
          <w:cols w:space="708"/>
        </w:sectPr>
      </w:pPr>
    </w:p>
    <w:p w:rsidR="009F62AB" w:rsidRDefault="005D4CB0">
      <w:pPr>
        <w:pStyle w:val="Zkladntext"/>
        <w:ind w:left="218" w:right="5186"/>
      </w:pPr>
      <w:r>
        <w:pict>
          <v:group id="_x0000_s1026" style="position:absolute;left:0;text-align:left;margin-left:84pt;margin-top:106.1pt;width:444.2pt;height:567.35pt;z-index:-252490752;mso-position-horizontal-relative:page;mso-position-vertical-relative:page" coordorigin="1680,2122" coordsize="8884,11347">
            <v:line id="_x0000_s1033" style="position:absolute" from="1685,2122" to="1685,13164" strokeweight=".48pt"/>
            <v:rect id="_x0000_s1032" style="position:absolute;left:1680;top:13458;width:10;height:10" fillcolor="black" stroked="f"/>
            <v:line id="_x0000_s1031" style="position:absolute" from="1690,13464" to="10555,13464" strokeweight=".48pt"/>
            <v:rect id="_x0000_s1030" style="position:absolute;left:10554;top:13458;width:10;height:10" fillcolor="black" stroked="f"/>
            <v:line id="_x0000_s1029" style="position:absolute" from="1685,13164" to="1685,13459" strokeweight=".48pt"/>
            <v:line id="_x0000_s1028" style="position:absolute" from="10560,2122" to="10560,13164" strokeweight=".48pt"/>
            <v:line id="_x0000_s1027" style="position:absolute" from="10560,13164" to="10560,13459" strokeweight=".48pt"/>
            <w10:wrap anchorx="page" anchory="page"/>
          </v:group>
        </w:pict>
      </w:r>
      <w:r w:rsidR="0001483F">
        <w:t>H335 Může způsobit podráždění dýchacích cest. Metylmetakrylát</w:t>
      </w:r>
    </w:p>
    <w:p w:rsidR="009F62AB" w:rsidRDefault="0001483F">
      <w:pPr>
        <w:pStyle w:val="Zkladntext"/>
        <w:ind w:left="218" w:right="4712"/>
      </w:pPr>
      <w:r>
        <w:t>H225 Vysoce hořlavá kapalina a páry. H315 Dráždí kůži.</w:t>
      </w:r>
    </w:p>
    <w:p w:rsidR="009F62AB" w:rsidRDefault="0001483F">
      <w:pPr>
        <w:pStyle w:val="Zkladntext"/>
        <w:ind w:left="218" w:right="4826"/>
      </w:pPr>
      <w:r>
        <w:t>H317 Může vyvolat alergickou kožní reakci. H335 Může způsobit podráždění dýchacích cest.</w:t>
      </w:r>
    </w:p>
    <w:p w:rsidR="009F62AB" w:rsidRDefault="0001483F">
      <w:pPr>
        <w:pStyle w:val="Zkladntext"/>
        <w:ind w:left="218" w:right="1040"/>
      </w:pPr>
      <w:r>
        <w:t>Poznámka: Tento bezpečnostní list nemusí nutně obsahovat všechny následující položky: PNEC: Předpokládaná koncentrace bez účinku</w:t>
      </w:r>
    </w:p>
    <w:p w:rsidR="009F62AB" w:rsidRDefault="0001483F">
      <w:pPr>
        <w:pStyle w:val="Zkladntext"/>
        <w:ind w:left="218" w:right="5559"/>
      </w:pPr>
      <w:r>
        <w:t>DNEL: Odvozená úroveň bez účinku OEL: Limitní hodnota expozice na pracovišti</w:t>
      </w:r>
    </w:p>
    <w:p w:rsidR="009F62AB" w:rsidRDefault="0001483F">
      <w:pPr>
        <w:pStyle w:val="Zkladntext"/>
        <w:spacing w:line="277" w:lineRule="exact"/>
        <w:ind w:left="218"/>
      </w:pPr>
      <w:r>
        <w:rPr>
          <w:position w:val="2"/>
        </w:rPr>
        <w:t xml:space="preserve">LD </w:t>
      </w:r>
      <w:r>
        <w:rPr>
          <w:sz w:val="16"/>
        </w:rPr>
        <w:t xml:space="preserve">50 </w:t>
      </w:r>
      <w:r>
        <w:rPr>
          <w:position w:val="2"/>
        </w:rPr>
        <w:t>: střední letální dávka; dávka způsobující 50% úmrtnost</w:t>
      </w:r>
    </w:p>
    <w:p w:rsidR="009F62AB" w:rsidRDefault="0001483F">
      <w:pPr>
        <w:pStyle w:val="Zkladntext"/>
        <w:ind w:left="218" w:right="960"/>
      </w:pPr>
      <w:r>
        <w:rPr>
          <w:position w:val="2"/>
        </w:rPr>
        <w:t xml:space="preserve">LC </w:t>
      </w:r>
      <w:r>
        <w:rPr>
          <w:sz w:val="16"/>
        </w:rPr>
        <w:t xml:space="preserve">50 </w:t>
      </w:r>
      <w:r>
        <w:rPr>
          <w:position w:val="2"/>
        </w:rPr>
        <w:t xml:space="preserve">: Smrtelná koncentrace 50; standardní měření toxicity okolního </w:t>
      </w:r>
      <w:r>
        <w:t>média, které zabije polovinu populace vzorku</w:t>
      </w:r>
    </w:p>
    <w:p w:rsidR="009F62AB" w:rsidRDefault="0001483F">
      <w:pPr>
        <w:pStyle w:val="Zkladntext"/>
        <w:spacing w:line="275" w:lineRule="exact"/>
        <w:ind w:left="218"/>
      </w:pPr>
      <w:r>
        <w:rPr>
          <w:position w:val="2"/>
        </w:rPr>
        <w:t xml:space="preserve">EC </w:t>
      </w:r>
      <w:r>
        <w:rPr>
          <w:sz w:val="16"/>
        </w:rPr>
        <w:t xml:space="preserve">50 </w:t>
      </w:r>
      <w:r>
        <w:rPr>
          <w:position w:val="2"/>
        </w:rPr>
        <w:t>: Polovina maximální účinné koncentrace</w:t>
      </w:r>
    </w:p>
    <w:p w:rsidR="009F62AB" w:rsidRDefault="0001483F">
      <w:pPr>
        <w:pStyle w:val="Zkladntext"/>
        <w:ind w:left="218" w:right="3473"/>
      </w:pPr>
      <w:r>
        <w:t>IOELV: Orientační limitní hodnota expozice na pracovišti. WEL: Expozice na pracovišti</w:t>
      </w:r>
      <w:r>
        <w:rPr>
          <w:spacing w:val="-4"/>
        </w:rPr>
        <w:t xml:space="preserve"> </w:t>
      </w:r>
      <w:r>
        <w:t>Omezit.</w:t>
      </w:r>
    </w:p>
    <w:p w:rsidR="009F62AB" w:rsidRDefault="0001483F">
      <w:pPr>
        <w:pStyle w:val="Zkladntext"/>
        <w:ind w:left="218" w:right="4126"/>
      </w:pPr>
      <w:proofErr w:type="spellStart"/>
      <w:r>
        <w:t>Bmgv</w:t>
      </w:r>
      <w:proofErr w:type="spellEnd"/>
      <w:r>
        <w:t xml:space="preserve">: </w:t>
      </w:r>
      <w:proofErr w:type="spellStart"/>
      <w:r>
        <w:t>Biological</w:t>
      </w:r>
      <w:proofErr w:type="spellEnd"/>
      <w:r>
        <w:t xml:space="preserve"> Monitoring </w:t>
      </w:r>
      <w:proofErr w:type="spellStart"/>
      <w:r>
        <w:t>Guidance</w:t>
      </w:r>
      <w:proofErr w:type="spellEnd"/>
      <w:r>
        <w:t xml:space="preserve"> </w:t>
      </w:r>
      <w:proofErr w:type="spellStart"/>
      <w:r>
        <w:t>Value</w:t>
      </w:r>
      <w:proofErr w:type="spellEnd"/>
      <w:r>
        <w:t>. Sen: Může způsobit senzibilizaci dýchacích cest. Sk: Může být absorbován skrz</w:t>
      </w:r>
      <w:r>
        <w:rPr>
          <w:spacing w:val="-2"/>
        </w:rPr>
        <w:t xml:space="preserve"> </w:t>
      </w:r>
      <w:r>
        <w:t>kůže.</w:t>
      </w:r>
    </w:p>
    <w:p w:rsidR="009F62AB" w:rsidRDefault="0001483F">
      <w:pPr>
        <w:pStyle w:val="Zkladntext"/>
        <w:ind w:left="218" w:right="2575"/>
      </w:pPr>
      <w:proofErr w:type="spellStart"/>
      <w:r>
        <w:t>Carc</w:t>
      </w:r>
      <w:proofErr w:type="spellEnd"/>
      <w:r>
        <w:t>: Schopný způsobit rakovinu a/nebo dědičné genetické poškození. CHAN: Upozornění na chemické nebezpečí.</w:t>
      </w:r>
    </w:p>
    <w:p w:rsidR="009F62AB" w:rsidRDefault="0001483F">
      <w:pPr>
        <w:pStyle w:val="Zkladntext"/>
        <w:ind w:left="218" w:right="1639"/>
      </w:pPr>
      <w:r>
        <w:t>COM: Cílem společnosti je omezit expozici na svém pracovišti na tento limit. LTEL: Limit dlouhodobé expozice.</w:t>
      </w:r>
    </w:p>
    <w:p w:rsidR="009F62AB" w:rsidRDefault="0001483F">
      <w:pPr>
        <w:pStyle w:val="Zkladntext"/>
        <w:ind w:left="218" w:right="5452"/>
      </w:pPr>
      <w:r>
        <w:t>STEL: Limit krátkodobé expozice. TWA: Časově vážený průměr.</w:t>
      </w:r>
    </w:p>
    <w:p w:rsidR="009F62AB" w:rsidRPr="00B71205" w:rsidRDefault="0001483F" w:rsidP="00B71205">
      <w:pPr>
        <w:pStyle w:val="Zkladntext"/>
        <w:ind w:left="218" w:right="2919"/>
      </w:pPr>
      <w:r>
        <w:t xml:space="preserve">STOT SE: Toxicita pro specifické cílové orgány – jednorázová expozice. </w:t>
      </w:r>
      <w:proofErr w:type="spellStart"/>
      <w:r>
        <w:t>Repr</w:t>
      </w:r>
      <w:proofErr w:type="spellEnd"/>
      <w:r>
        <w:t>.: Toxicita pro reprodukci.</w:t>
      </w:r>
    </w:p>
    <w:p w:rsidR="009F62AB" w:rsidRDefault="0001483F">
      <w:pPr>
        <w:spacing w:before="90"/>
        <w:ind w:left="218"/>
        <w:rPr>
          <w:i/>
          <w:sz w:val="24"/>
        </w:rPr>
      </w:pPr>
      <w:r>
        <w:rPr>
          <w:i/>
          <w:sz w:val="24"/>
        </w:rPr>
        <w:t>Reference:</w:t>
      </w:r>
    </w:p>
    <w:p w:rsidR="009F62AB" w:rsidRDefault="0001483F">
      <w:pPr>
        <w:pStyle w:val="Zkladntext"/>
        <w:ind w:left="218" w:right="2261"/>
      </w:pPr>
      <w:r>
        <w:t>Bezpečnostní listy výrobce suroviny pro výrobek Ur. l RS 36/99, 45/00, 104/00, 101/02, 9/03, 65/03</w:t>
      </w:r>
    </w:p>
    <w:p w:rsidR="009F62AB" w:rsidRDefault="0001483F">
      <w:pPr>
        <w:pStyle w:val="Zkladntext"/>
        <w:ind w:left="218" w:right="1086"/>
      </w:pPr>
      <w:r>
        <w:t xml:space="preserve">Evropská úmluva o mezinárodní přepravě nebezpečného materiálu </w:t>
      </w:r>
      <w:r>
        <w:rPr>
          <w:spacing w:val="-4"/>
        </w:rPr>
        <w:t xml:space="preserve">ADR </w:t>
      </w:r>
      <w:r>
        <w:t>EC směrnice 1907/2006 a</w:t>
      </w:r>
      <w:r>
        <w:rPr>
          <w:spacing w:val="-2"/>
        </w:rPr>
        <w:t xml:space="preserve"> </w:t>
      </w:r>
      <w:r>
        <w:t>1272/2008</w:t>
      </w:r>
    </w:p>
    <w:p w:rsidR="009F62AB" w:rsidRDefault="0001483F">
      <w:pPr>
        <w:pStyle w:val="Zkladntext"/>
        <w:ind w:left="218"/>
      </w:pPr>
      <w:proofErr w:type="spellStart"/>
      <w:proofErr w:type="gramStart"/>
      <w:r>
        <w:t>Ur.l</w:t>
      </w:r>
      <w:proofErr w:type="spellEnd"/>
      <w:r>
        <w:t>.</w:t>
      </w:r>
      <w:proofErr w:type="gramEnd"/>
      <w:r>
        <w:t xml:space="preserve"> RS 101/2002 a </w:t>
      </w:r>
      <w:proofErr w:type="gramStart"/>
      <w:r>
        <w:t>Ur</w:t>
      </w:r>
      <w:proofErr w:type="gramEnd"/>
      <w:r>
        <w:t>.</w:t>
      </w:r>
      <w:proofErr w:type="gramStart"/>
      <w:r>
        <w:t>l.</w:t>
      </w:r>
      <w:proofErr w:type="gramEnd"/>
      <w:r>
        <w:t>RS</w:t>
      </w:r>
      <w:r>
        <w:rPr>
          <w:spacing w:val="-3"/>
        </w:rPr>
        <w:t xml:space="preserve"> </w:t>
      </w:r>
      <w:r>
        <w:t>16/2008</w:t>
      </w:r>
    </w:p>
    <w:p w:rsidR="009F62AB" w:rsidRDefault="0001483F" w:rsidP="00B71205">
      <w:pPr>
        <w:spacing w:before="90"/>
        <w:ind w:firstLine="218"/>
        <w:rPr>
          <w:i/>
          <w:sz w:val="24"/>
        </w:rPr>
      </w:pPr>
      <w:r>
        <w:rPr>
          <w:i/>
          <w:sz w:val="24"/>
        </w:rPr>
        <w:t>Odmítnutí vyjádřených a předpokládaných záruk:</w:t>
      </w:r>
    </w:p>
    <w:p w:rsidR="009F62AB" w:rsidRDefault="0001483F">
      <w:pPr>
        <w:pStyle w:val="Zkladntext"/>
        <w:ind w:left="218" w:right="321"/>
      </w:pPr>
      <w:r>
        <w:t>Informace obsažené v bezpečnostním listu jsou správné podle našich nejlepších znalostí k datu vydání. Slouží jako návod pro bezpečné použití, manipulaci, likvidaci, skladování a přepravu a není zamýšlen jako záruka ani jako specifikace. Informace se týkají pouze specifikovaného produktu a nemusí být vhodné pro kombinace s jinými materiály nebo pro procesy jiné než ty, které jsou zde konkrétně popsány.</w:t>
      </w:r>
    </w:p>
    <w:sectPr w:rsidR="009F62AB">
      <w:pgSz w:w="12250" w:h="15850"/>
      <w:pgMar w:top="2120" w:right="1560" w:bottom="1140" w:left="1580" w:header="738" w:footer="9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3F" w:rsidRDefault="0001483F">
      <w:r>
        <w:separator/>
      </w:r>
    </w:p>
  </w:endnote>
  <w:endnote w:type="continuationSeparator" w:id="0">
    <w:p w:rsidR="0001483F" w:rsidRDefault="0001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B0" w:rsidRDefault="005D4C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AB" w:rsidRDefault="00FA33FF">
    <w:pPr>
      <w:pStyle w:val="Zkladn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476.1pt;margin-top:744.8pt;width:56.65pt;height:12.1pt;z-index:-252517376;mso-position-horizontal-relative:page;mso-position-vertical-relative:page" filled="f" stroked="f">
          <v:textbox style="mso-next-textbox:#_x0000_s2057" inset="0,0,0,0">
            <w:txbxContent>
              <w:p w:rsidR="009F62AB" w:rsidRDefault="00FA33FF">
                <w:pPr>
                  <w:spacing w:before="10"/>
                  <w:ind w:left="20"/>
                  <w:rPr>
                    <w:sz w:val="20"/>
                  </w:rPr>
                </w:pPr>
                <w:r w:rsidRPr="00FA33FF">
                  <w:rPr>
                    <w:sz w:val="20"/>
                  </w:rPr>
                  <w:t>Strana 1 z 9</w:t>
                </w:r>
              </w:p>
            </w:txbxContent>
          </v:textbox>
          <w10:wrap anchorx="page" anchory="page"/>
        </v:shape>
      </w:pict>
    </w:r>
    <w:r w:rsidR="005D4CB0">
      <w:pict>
        <v:shape id="_x0000_s2058" type="#_x0000_t202" style="position:absolute;margin-left:88.9pt;margin-top:733.25pt;width:303.35pt;height:13.05pt;z-index:-252518400;mso-position-horizontal-relative:page;mso-position-vertical-relative:page" filled="f" stroked="f">
          <v:textbox style="mso-next-textbox:#_x0000_s2058" inset="0,0,0,0">
            <w:txbxContent>
              <w:p w:rsidR="009F62AB" w:rsidRDefault="00FA33FF">
                <w:pPr>
                  <w:spacing w:before="10"/>
                  <w:ind w:left="20"/>
                  <w:rPr>
                    <w:sz w:val="20"/>
                  </w:rPr>
                </w:pPr>
                <w:r w:rsidRPr="00FA33FF">
                  <w:rPr>
                    <w:sz w:val="20"/>
                  </w:rPr>
                  <w:t>V souladu s nařízením (ES) č. 1907/2006 a EK č. 1272/2008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B0" w:rsidRDefault="005D4CB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AB" w:rsidRDefault="005D4CB0">
    <w:pPr>
      <w:pStyle w:val="Zkladn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76.1pt;margin-top:744.8pt;width:55.7pt;height:11.2pt;z-index:-252512256;mso-position-horizontal-relative:page;mso-position-vertical-relative:page" filled="f" stroked="f">
          <v:textbox inset="0,0,0,0">
            <w:txbxContent>
              <w:p w:rsidR="009F62AB" w:rsidRDefault="005D4CB0">
                <w:pPr>
                  <w:spacing w:before="10"/>
                  <w:ind w:left="20"/>
                  <w:rPr>
                    <w:sz w:val="20"/>
                  </w:rPr>
                </w:pPr>
                <w:r w:rsidRPr="005D4CB0">
                  <w:rPr>
                    <w:sz w:val="20"/>
                  </w:rPr>
                  <w:t>Strana 5 z 9</w:t>
                </w:r>
              </w:p>
            </w:txbxContent>
          </v:textbox>
          <w10:wrap anchorx="page" anchory="page"/>
        </v:shape>
      </w:pict>
    </w:r>
    <w:r>
      <w:pict>
        <v:shape id="_x0000_s2054" type="#_x0000_t202" style="position:absolute;margin-left:88.9pt;margin-top:733.25pt;width:303.35pt;height:13.05pt;z-index:-252513280;mso-position-horizontal-relative:page;mso-position-vertical-relative:page" filled="f" stroked="f">
          <v:textbox inset="0,0,0,0">
            <w:txbxContent>
              <w:p w:rsidR="009F62AB" w:rsidRDefault="005D4CB0">
                <w:pPr>
                  <w:spacing w:before="10"/>
                  <w:ind w:left="20"/>
                  <w:rPr>
                    <w:sz w:val="20"/>
                  </w:rPr>
                </w:pPr>
                <w:r w:rsidRPr="005D4CB0">
                  <w:rPr>
                    <w:sz w:val="20"/>
                  </w:rPr>
                  <w:t>V souladu s nařízením (ES) č. 1907/2006 a EK č. 1272/2008</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AB" w:rsidRDefault="00503E71">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76.1pt;margin-top:744.8pt;width:58.5pt;height:13.05pt;z-index:-252507136;mso-position-horizontal-relative:page;mso-position-vertical-relative:page" filled="f" stroked="f">
          <v:textbox inset="0,0,0,0">
            <w:txbxContent>
              <w:p w:rsidR="009F62AB" w:rsidRDefault="00503E71">
                <w:pPr>
                  <w:spacing w:before="10"/>
                  <w:ind w:left="20"/>
                  <w:rPr>
                    <w:sz w:val="20"/>
                  </w:rPr>
                </w:pPr>
                <w:r w:rsidRPr="00503E71">
                  <w:rPr>
                    <w:sz w:val="20"/>
                  </w:rPr>
                  <w:t>Strana 6 z 9</w:t>
                </w:r>
              </w:p>
            </w:txbxContent>
          </v:textbox>
          <w10:wrap anchorx="page" anchory="page"/>
        </v:shape>
      </w:pict>
    </w:r>
    <w:r w:rsidR="005D4CB0">
      <w:pict>
        <v:shape id="_x0000_s2050" type="#_x0000_t202" style="position:absolute;margin-left:88.9pt;margin-top:733.25pt;width:303.35pt;height:13.05pt;z-index:-252508160;mso-position-horizontal-relative:page;mso-position-vertical-relative:page" filled="f" stroked="f">
          <v:textbox inset="0,0,0,0">
            <w:txbxContent>
              <w:p w:rsidR="009F62AB" w:rsidRDefault="00503E71">
                <w:pPr>
                  <w:spacing w:before="10"/>
                  <w:ind w:left="20"/>
                  <w:rPr>
                    <w:sz w:val="20"/>
                  </w:rPr>
                </w:pPr>
                <w:r w:rsidRPr="00503E71">
                  <w:rPr>
                    <w:sz w:val="20"/>
                  </w:rPr>
                  <w:t>V souladu s nařízením (ES) č. 1907/2006 a EK č. 1272/2008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3F" w:rsidRDefault="0001483F">
      <w:r>
        <w:separator/>
      </w:r>
    </w:p>
  </w:footnote>
  <w:footnote w:type="continuationSeparator" w:id="0">
    <w:p w:rsidR="0001483F" w:rsidRDefault="0001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B0" w:rsidRDefault="005D4CB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AB" w:rsidRDefault="0001483F">
    <w:pPr>
      <w:pStyle w:val="Zkladntext"/>
      <w:spacing w:line="14" w:lineRule="auto"/>
      <w:rPr>
        <w:sz w:val="20"/>
      </w:rPr>
    </w:pPr>
    <w:r>
      <w:rPr>
        <w:noProof/>
        <w:lang w:val="cs-CZ" w:eastAsia="cs-CZ" w:bidi="ar-SA"/>
      </w:rPr>
      <w:drawing>
        <wp:anchor distT="0" distB="0" distL="0" distR="0" simplePos="0" relativeHeight="250795008" behindDoc="1" locked="0" layoutInCell="1" allowOverlap="1">
          <wp:simplePos x="0" y="0"/>
          <wp:positionH relativeFrom="page">
            <wp:posOffset>1152404</wp:posOffset>
          </wp:positionH>
          <wp:positionV relativeFrom="page">
            <wp:posOffset>468576</wp:posOffset>
          </wp:positionV>
          <wp:extent cx="1956555" cy="42931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56555" cy="429313"/>
                  </a:xfrm>
                  <a:prstGeom prst="rect">
                    <a:avLst/>
                  </a:prstGeom>
                </pic:spPr>
              </pic:pic>
            </a:graphicData>
          </a:graphic>
        </wp:anchor>
      </w:drawing>
    </w:r>
    <w:r w:rsidR="005D4CB0">
      <w:pict>
        <v:shapetype id="_x0000_t202" coordsize="21600,21600" o:spt="202" path="m,l,21600r21600,l21600,xe">
          <v:stroke joinstyle="miter"/>
          <v:path gradientshapeok="t" o:connecttype="rect"/>
        </v:shapetype>
        <v:shape id="_x0000_s2060" type="#_x0000_t202" style="position:absolute;margin-left:411.85pt;margin-top:60.45pt;width:111.45pt;height:24.95pt;z-index:-252520448;mso-position-horizontal-relative:page;mso-position-vertical-relative:page" filled="f" stroked="f">
          <v:textbox style="mso-next-textbox:#_x0000_s2060" inset="0,0,0,0">
            <w:txbxContent>
              <w:p w:rsidR="004C2FE8" w:rsidRPr="004C2FE8" w:rsidRDefault="004C2FE8" w:rsidP="004C2FE8">
                <w:pPr>
                  <w:spacing w:before="1"/>
                  <w:ind w:right="18"/>
                  <w:jc w:val="right"/>
                  <w:rPr>
                    <w:b/>
                    <w:sz w:val="20"/>
                  </w:rPr>
                </w:pPr>
                <w:r w:rsidRPr="004C2FE8">
                  <w:rPr>
                    <w:b/>
                    <w:sz w:val="20"/>
                  </w:rPr>
                  <w:t>Datum: 08. prosince 2022</w:t>
                </w:r>
              </w:p>
              <w:p w:rsidR="009F62AB" w:rsidRDefault="004C2FE8" w:rsidP="004C2FE8">
                <w:pPr>
                  <w:spacing w:before="1"/>
                  <w:ind w:right="18"/>
                  <w:jc w:val="right"/>
                  <w:rPr>
                    <w:b/>
                    <w:sz w:val="20"/>
                  </w:rPr>
                </w:pPr>
                <w:r w:rsidRPr="004C2FE8">
                  <w:rPr>
                    <w:b/>
                    <w:sz w:val="20"/>
                  </w:rPr>
                  <w:t>Verze 06</w:t>
                </w:r>
              </w:p>
            </w:txbxContent>
          </v:textbox>
          <w10:wrap anchorx="page" anchory="page"/>
        </v:shape>
      </w:pict>
    </w:r>
    <w:r w:rsidR="005D4CB0">
      <w:pict>
        <v:shape id="_x0000_s2059" type="#_x0000_t202" style="position:absolute;margin-left:223.8pt;margin-top:83.35pt;width:164.45pt;height:23.75pt;z-index:-252519424;mso-position-horizontal-relative:page;mso-position-vertical-relative:page" filled="f" stroked="f">
          <v:textbox style="mso-next-textbox:#_x0000_s2059" inset="0,0,0,0">
            <w:txbxContent>
              <w:p w:rsidR="009F62AB" w:rsidRPr="004C2FE8" w:rsidRDefault="004C2FE8">
                <w:pPr>
                  <w:spacing w:before="20"/>
                  <w:ind w:left="20"/>
                  <w:rPr>
                    <w:b/>
                    <w:sz w:val="44"/>
                    <w:szCs w:val="44"/>
                  </w:rPr>
                </w:pPr>
                <w:r w:rsidRPr="004C2FE8">
                  <w:rPr>
                    <w:b/>
                    <w:sz w:val="44"/>
                    <w:szCs w:val="44"/>
                  </w:rPr>
                  <w:t>Bezpečnostní list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B0" w:rsidRDefault="005D4CB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AB" w:rsidRDefault="0001483F">
    <w:pPr>
      <w:pStyle w:val="Zkladntext"/>
      <w:spacing w:line="14" w:lineRule="auto"/>
      <w:rPr>
        <w:sz w:val="20"/>
      </w:rPr>
    </w:pPr>
    <w:bookmarkStart w:id="0" w:name="_GoBack"/>
    <w:bookmarkEnd w:id="0"/>
    <w:r>
      <w:rPr>
        <w:noProof/>
        <w:lang w:val="cs-CZ" w:eastAsia="cs-CZ" w:bidi="ar-SA"/>
      </w:rPr>
      <w:drawing>
        <wp:anchor distT="0" distB="0" distL="0" distR="0" simplePos="0" relativeHeight="250800128" behindDoc="1" locked="0" layoutInCell="1" allowOverlap="1">
          <wp:simplePos x="0" y="0"/>
          <wp:positionH relativeFrom="page">
            <wp:posOffset>1152404</wp:posOffset>
          </wp:positionH>
          <wp:positionV relativeFrom="page">
            <wp:posOffset>468576</wp:posOffset>
          </wp:positionV>
          <wp:extent cx="1956555" cy="42931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956555" cy="429313"/>
                  </a:xfrm>
                  <a:prstGeom prst="rect">
                    <a:avLst/>
                  </a:prstGeom>
                </pic:spPr>
              </pic:pic>
            </a:graphicData>
          </a:graphic>
        </wp:anchor>
      </w:drawing>
    </w:r>
    <w:r w:rsidR="005D4CB0">
      <w:pict>
        <v:shapetype id="_x0000_t202" coordsize="21600,21600" o:spt="202" path="m,l,21600r21600,l21600,xe">
          <v:stroke joinstyle="miter"/>
          <v:path gradientshapeok="t" o:connecttype="rect"/>
        </v:shapetype>
        <v:shape id="_x0000_s2056" type="#_x0000_t202" style="position:absolute;margin-left:411.85pt;margin-top:60.45pt;width:111.45pt;height:24.95pt;z-index:-252515328;mso-position-horizontal-relative:page;mso-position-vertical-relative:page" filled="f" stroked="f">
          <v:textbox inset="0,0,0,0">
            <w:txbxContent>
              <w:p w:rsidR="00D13636" w:rsidRPr="00D13636" w:rsidRDefault="00D13636" w:rsidP="00D13636">
                <w:pPr>
                  <w:spacing w:before="1"/>
                  <w:ind w:right="18"/>
                  <w:jc w:val="right"/>
                  <w:rPr>
                    <w:b/>
                    <w:sz w:val="20"/>
                  </w:rPr>
                </w:pPr>
                <w:r w:rsidRPr="00D13636">
                  <w:rPr>
                    <w:b/>
                    <w:sz w:val="20"/>
                  </w:rPr>
                  <w:t>Datum: 08. prosince 2022</w:t>
                </w:r>
              </w:p>
              <w:p w:rsidR="009F62AB" w:rsidRDefault="00D13636" w:rsidP="00D13636">
                <w:pPr>
                  <w:spacing w:before="1"/>
                  <w:ind w:right="18"/>
                  <w:jc w:val="right"/>
                  <w:rPr>
                    <w:b/>
                    <w:sz w:val="20"/>
                  </w:rPr>
                </w:pPr>
                <w:r w:rsidRPr="00D13636">
                  <w:rPr>
                    <w:b/>
                    <w:sz w:val="20"/>
                  </w:rPr>
                  <w:t>Verze 06</w:t>
                </w:r>
              </w:p>
            </w:txbxContent>
          </v:textbox>
          <w10:wrap anchorx="page" anchory="page"/>
        </v:shape>
      </w:pict>
    </w:r>
    <w:r w:rsidR="005D4CB0">
      <w:pict>
        <v:shape id="_x0000_s2055" type="#_x0000_t202" style="position:absolute;margin-left:223.8pt;margin-top:83.35pt;width:164.45pt;height:23.75pt;z-index:-252514304;mso-position-horizontal-relative:page;mso-position-vertical-relative:page" filled="f" stroked="f">
          <v:textbox inset="0,0,0,0">
            <w:txbxContent>
              <w:p w:rsidR="009F62AB" w:rsidRPr="00D13636" w:rsidRDefault="00D13636">
                <w:pPr>
                  <w:spacing w:before="20"/>
                  <w:ind w:left="20"/>
                  <w:rPr>
                    <w:rFonts w:ascii="Arial" w:hAnsi="Arial" w:cs="Arial"/>
                    <w:b/>
                    <w:sz w:val="36"/>
                  </w:rPr>
                </w:pPr>
                <w:r w:rsidRPr="00D13636">
                  <w:rPr>
                    <w:rFonts w:ascii="Arial" w:hAnsi="Arial" w:cs="Arial"/>
                    <w:b/>
                    <w:sz w:val="36"/>
                  </w:rPr>
                  <w:t>Bezpečnostní list</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AB" w:rsidRDefault="0001483F">
    <w:pPr>
      <w:pStyle w:val="Zkladntext"/>
      <w:spacing w:line="14" w:lineRule="auto"/>
      <w:rPr>
        <w:sz w:val="20"/>
      </w:rPr>
    </w:pPr>
    <w:r>
      <w:rPr>
        <w:noProof/>
        <w:lang w:val="cs-CZ" w:eastAsia="cs-CZ" w:bidi="ar-SA"/>
      </w:rPr>
      <w:drawing>
        <wp:anchor distT="0" distB="0" distL="0" distR="0" simplePos="0" relativeHeight="250805248" behindDoc="1" locked="0" layoutInCell="1" allowOverlap="1">
          <wp:simplePos x="0" y="0"/>
          <wp:positionH relativeFrom="page">
            <wp:posOffset>1152404</wp:posOffset>
          </wp:positionH>
          <wp:positionV relativeFrom="page">
            <wp:posOffset>468576</wp:posOffset>
          </wp:positionV>
          <wp:extent cx="1956555" cy="42931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956555" cy="429313"/>
                  </a:xfrm>
                  <a:prstGeom prst="rect">
                    <a:avLst/>
                  </a:prstGeom>
                </pic:spPr>
              </pic:pic>
            </a:graphicData>
          </a:graphic>
        </wp:anchor>
      </w:drawing>
    </w:r>
    <w:r w:rsidR="005D4CB0">
      <w:pict>
        <v:shapetype id="_x0000_t202" coordsize="21600,21600" o:spt="202" path="m,l,21600r21600,l21600,xe">
          <v:stroke joinstyle="miter"/>
          <v:path gradientshapeok="t" o:connecttype="rect"/>
        </v:shapetype>
        <v:shape id="_x0000_s2052" type="#_x0000_t202" style="position:absolute;margin-left:411.85pt;margin-top:60.45pt;width:111.45pt;height:24.95pt;z-index:-252510208;mso-position-horizontal-relative:page;mso-position-vertical-relative:page" filled="f" stroked="f">
          <v:textbox inset="0,0,0,0">
            <w:txbxContent>
              <w:p w:rsidR="00B71205" w:rsidRPr="00B71205" w:rsidRDefault="00B71205" w:rsidP="00B71205">
                <w:pPr>
                  <w:spacing w:before="1"/>
                  <w:ind w:right="18"/>
                  <w:jc w:val="right"/>
                  <w:rPr>
                    <w:b/>
                    <w:sz w:val="20"/>
                  </w:rPr>
                </w:pPr>
                <w:r w:rsidRPr="00B71205">
                  <w:rPr>
                    <w:b/>
                    <w:sz w:val="20"/>
                  </w:rPr>
                  <w:t>Datum: 8. prosince 2022</w:t>
                </w:r>
              </w:p>
              <w:p w:rsidR="009F62AB" w:rsidRDefault="00B71205" w:rsidP="00B71205">
                <w:pPr>
                  <w:spacing w:before="1"/>
                  <w:ind w:right="18"/>
                  <w:jc w:val="right"/>
                  <w:rPr>
                    <w:b/>
                    <w:sz w:val="20"/>
                  </w:rPr>
                </w:pPr>
                <w:r w:rsidRPr="00B71205">
                  <w:rPr>
                    <w:b/>
                    <w:sz w:val="20"/>
                  </w:rPr>
                  <w:t>Verze 06</w:t>
                </w:r>
              </w:p>
            </w:txbxContent>
          </v:textbox>
          <w10:wrap anchorx="page" anchory="page"/>
        </v:shape>
      </w:pict>
    </w:r>
    <w:r w:rsidR="005D4CB0">
      <w:pict>
        <v:shape id="_x0000_s2051" type="#_x0000_t202" style="position:absolute;margin-left:223.8pt;margin-top:83.35pt;width:164.45pt;height:23.75pt;z-index:-252509184;mso-position-horizontal-relative:page;mso-position-vertical-relative:page" filled="f" stroked="f">
          <v:textbox inset="0,0,0,0">
            <w:txbxContent>
              <w:p w:rsidR="009F62AB" w:rsidRPr="00B71205" w:rsidRDefault="00B71205">
                <w:pPr>
                  <w:spacing w:before="20"/>
                  <w:ind w:left="20"/>
                  <w:rPr>
                    <w:rFonts w:ascii="Arial" w:hAnsi="Arial" w:cs="Arial"/>
                    <w:b/>
                    <w:sz w:val="36"/>
                  </w:rPr>
                </w:pPr>
                <w:r w:rsidRPr="00B71205">
                  <w:rPr>
                    <w:rFonts w:ascii="Arial" w:hAnsi="Arial" w:cs="Arial"/>
                    <w:b/>
                    <w:sz w:val="36"/>
                  </w:rPr>
                  <w:t>Bezpečnostní list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463C"/>
    <w:multiLevelType w:val="multilevel"/>
    <w:tmpl w:val="2DA6C9CA"/>
    <w:lvl w:ilvl="0">
      <w:start w:val="10"/>
      <w:numFmt w:val="decimal"/>
      <w:lvlText w:val="%1"/>
      <w:lvlJc w:val="left"/>
      <w:pPr>
        <w:ind w:left="597" w:hanging="480"/>
      </w:pPr>
      <w:rPr>
        <w:rFonts w:hint="default"/>
        <w:lang w:val="sl-SI" w:eastAsia="sl-SI" w:bidi="sl-SI"/>
      </w:rPr>
    </w:lvl>
    <w:lvl w:ilvl="1">
      <w:start w:val="1"/>
      <w:numFmt w:val="decimal"/>
      <w:lvlText w:val="%1.%2"/>
      <w:lvlJc w:val="left"/>
      <w:pPr>
        <w:ind w:left="597" w:hanging="480"/>
      </w:pPr>
      <w:rPr>
        <w:rFonts w:ascii="Times New Roman" w:eastAsia="Times New Roman" w:hAnsi="Times New Roman" w:cs="Times New Roman" w:hint="default"/>
        <w:b/>
        <w:bCs/>
        <w:spacing w:val="-2"/>
        <w:w w:val="99"/>
        <w:sz w:val="24"/>
        <w:szCs w:val="24"/>
        <w:lang w:val="sl-SI" w:eastAsia="sl-SI" w:bidi="sl-SI"/>
      </w:rPr>
    </w:lvl>
    <w:lvl w:ilvl="2">
      <w:numFmt w:val="bullet"/>
      <w:lvlText w:val="•"/>
      <w:lvlJc w:val="left"/>
      <w:pPr>
        <w:ind w:left="2256" w:hanging="480"/>
      </w:pPr>
      <w:rPr>
        <w:rFonts w:hint="default"/>
        <w:lang w:val="sl-SI" w:eastAsia="sl-SI" w:bidi="sl-SI"/>
      </w:rPr>
    </w:lvl>
    <w:lvl w:ilvl="3">
      <w:numFmt w:val="bullet"/>
      <w:lvlText w:val="•"/>
      <w:lvlJc w:val="left"/>
      <w:pPr>
        <w:ind w:left="3085" w:hanging="480"/>
      </w:pPr>
      <w:rPr>
        <w:rFonts w:hint="default"/>
        <w:lang w:val="sl-SI" w:eastAsia="sl-SI" w:bidi="sl-SI"/>
      </w:rPr>
    </w:lvl>
    <w:lvl w:ilvl="4">
      <w:numFmt w:val="bullet"/>
      <w:lvlText w:val="•"/>
      <w:lvlJc w:val="left"/>
      <w:pPr>
        <w:ind w:left="3913" w:hanging="480"/>
      </w:pPr>
      <w:rPr>
        <w:rFonts w:hint="default"/>
        <w:lang w:val="sl-SI" w:eastAsia="sl-SI" w:bidi="sl-SI"/>
      </w:rPr>
    </w:lvl>
    <w:lvl w:ilvl="5">
      <w:numFmt w:val="bullet"/>
      <w:lvlText w:val="•"/>
      <w:lvlJc w:val="left"/>
      <w:pPr>
        <w:ind w:left="4741" w:hanging="480"/>
      </w:pPr>
      <w:rPr>
        <w:rFonts w:hint="default"/>
        <w:lang w:val="sl-SI" w:eastAsia="sl-SI" w:bidi="sl-SI"/>
      </w:rPr>
    </w:lvl>
    <w:lvl w:ilvl="6">
      <w:numFmt w:val="bullet"/>
      <w:lvlText w:val="•"/>
      <w:lvlJc w:val="left"/>
      <w:pPr>
        <w:ind w:left="5570" w:hanging="480"/>
      </w:pPr>
      <w:rPr>
        <w:rFonts w:hint="default"/>
        <w:lang w:val="sl-SI" w:eastAsia="sl-SI" w:bidi="sl-SI"/>
      </w:rPr>
    </w:lvl>
    <w:lvl w:ilvl="7">
      <w:numFmt w:val="bullet"/>
      <w:lvlText w:val="•"/>
      <w:lvlJc w:val="left"/>
      <w:pPr>
        <w:ind w:left="6398" w:hanging="480"/>
      </w:pPr>
      <w:rPr>
        <w:rFonts w:hint="default"/>
        <w:lang w:val="sl-SI" w:eastAsia="sl-SI" w:bidi="sl-SI"/>
      </w:rPr>
    </w:lvl>
    <w:lvl w:ilvl="8">
      <w:numFmt w:val="bullet"/>
      <w:lvlText w:val="•"/>
      <w:lvlJc w:val="left"/>
      <w:pPr>
        <w:ind w:left="7227" w:hanging="480"/>
      </w:pPr>
      <w:rPr>
        <w:rFonts w:hint="default"/>
        <w:lang w:val="sl-SI" w:eastAsia="sl-SI" w:bidi="sl-SI"/>
      </w:rPr>
    </w:lvl>
  </w:abstractNum>
  <w:abstractNum w:abstractNumId="1" w15:restartNumberingAfterBreak="0">
    <w:nsid w:val="156905FA"/>
    <w:multiLevelType w:val="hybridMultilevel"/>
    <w:tmpl w:val="CFCEC0C2"/>
    <w:lvl w:ilvl="0" w:tplc="5088DF3E">
      <w:numFmt w:val="bullet"/>
      <w:lvlText w:val="-"/>
      <w:lvlJc w:val="left"/>
      <w:pPr>
        <w:ind w:left="239" w:hanging="130"/>
      </w:pPr>
      <w:rPr>
        <w:rFonts w:ascii="Times New Roman" w:eastAsia="Times New Roman" w:hAnsi="Times New Roman" w:cs="Times New Roman" w:hint="default"/>
        <w:b/>
        <w:bCs/>
        <w:w w:val="100"/>
        <w:sz w:val="22"/>
        <w:szCs w:val="22"/>
        <w:lang w:val="sl-SI" w:eastAsia="sl-SI" w:bidi="sl-SI"/>
      </w:rPr>
    </w:lvl>
    <w:lvl w:ilvl="1" w:tplc="0F08ED5C">
      <w:numFmt w:val="bullet"/>
      <w:lvlText w:val="•"/>
      <w:lvlJc w:val="left"/>
      <w:pPr>
        <w:ind w:left="413" w:hanging="130"/>
      </w:pPr>
      <w:rPr>
        <w:rFonts w:hint="default"/>
        <w:lang w:val="sl-SI" w:eastAsia="sl-SI" w:bidi="sl-SI"/>
      </w:rPr>
    </w:lvl>
    <w:lvl w:ilvl="2" w:tplc="73A2741A">
      <w:numFmt w:val="bullet"/>
      <w:lvlText w:val="•"/>
      <w:lvlJc w:val="left"/>
      <w:pPr>
        <w:ind w:left="587" w:hanging="130"/>
      </w:pPr>
      <w:rPr>
        <w:rFonts w:hint="default"/>
        <w:lang w:val="sl-SI" w:eastAsia="sl-SI" w:bidi="sl-SI"/>
      </w:rPr>
    </w:lvl>
    <w:lvl w:ilvl="3" w:tplc="93C46868">
      <w:numFmt w:val="bullet"/>
      <w:lvlText w:val="•"/>
      <w:lvlJc w:val="left"/>
      <w:pPr>
        <w:ind w:left="761" w:hanging="130"/>
      </w:pPr>
      <w:rPr>
        <w:rFonts w:hint="default"/>
        <w:lang w:val="sl-SI" w:eastAsia="sl-SI" w:bidi="sl-SI"/>
      </w:rPr>
    </w:lvl>
    <w:lvl w:ilvl="4" w:tplc="C01C6366">
      <w:numFmt w:val="bullet"/>
      <w:lvlText w:val="•"/>
      <w:lvlJc w:val="left"/>
      <w:pPr>
        <w:ind w:left="934" w:hanging="130"/>
      </w:pPr>
      <w:rPr>
        <w:rFonts w:hint="default"/>
        <w:lang w:val="sl-SI" w:eastAsia="sl-SI" w:bidi="sl-SI"/>
      </w:rPr>
    </w:lvl>
    <w:lvl w:ilvl="5" w:tplc="B364A50A">
      <w:numFmt w:val="bullet"/>
      <w:lvlText w:val="•"/>
      <w:lvlJc w:val="left"/>
      <w:pPr>
        <w:ind w:left="1108" w:hanging="130"/>
      </w:pPr>
      <w:rPr>
        <w:rFonts w:hint="default"/>
        <w:lang w:val="sl-SI" w:eastAsia="sl-SI" w:bidi="sl-SI"/>
      </w:rPr>
    </w:lvl>
    <w:lvl w:ilvl="6" w:tplc="F0D244F0">
      <w:numFmt w:val="bullet"/>
      <w:lvlText w:val="•"/>
      <w:lvlJc w:val="left"/>
      <w:pPr>
        <w:ind w:left="1282" w:hanging="130"/>
      </w:pPr>
      <w:rPr>
        <w:rFonts w:hint="default"/>
        <w:lang w:val="sl-SI" w:eastAsia="sl-SI" w:bidi="sl-SI"/>
      </w:rPr>
    </w:lvl>
    <w:lvl w:ilvl="7" w:tplc="0CD21B38">
      <w:numFmt w:val="bullet"/>
      <w:lvlText w:val="•"/>
      <w:lvlJc w:val="left"/>
      <w:pPr>
        <w:ind w:left="1455" w:hanging="130"/>
      </w:pPr>
      <w:rPr>
        <w:rFonts w:hint="default"/>
        <w:lang w:val="sl-SI" w:eastAsia="sl-SI" w:bidi="sl-SI"/>
      </w:rPr>
    </w:lvl>
    <w:lvl w:ilvl="8" w:tplc="8EE8E4DA">
      <w:numFmt w:val="bullet"/>
      <w:lvlText w:val="•"/>
      <w:lvlJc w:val="left"/>
      <w:pPr>
        <w:ind w:left="1629" w:hanging="130"/>
      </w:pPr>
      <w:rPr>
        <w:rFonts w:hint="default"/>
        <w:lang w:val="sl-SI" w:eastAsia="sl-SI" w:bidi="sl-SI"/>
      </w:rPr>
    </w:lvl>
  </w:abstractNum>
  <w:abstractNum w:abstractNumId="2" w15:restartNumberingAfterBreak="0">
    <w:nsid w:val="2045346A"/>
    <w:multiLevelType w:val="multilevel"/>
    <w:tmpl w:val="CE2E6010"/>
    <w:lvl w:ilvl="0">
      <w:start w:val="3"/>
      <w:numFmt w:val="decimal"/>
      <w:lvlText w:val="%1"/>
      <w:lvlJc w:val="left"/>
      <w:pPr>
        <w:ind w:left="470" w:hanging="360"/>
      </w:pPr>
      <w:rPr>
        <w:rFonts w:hint="default"/>
        <w:lang w:val="sl-SI" w:eastAsia="sl-SI" w:bidi="sl-SI"/>
      </w:rPr>
    </w:lvl>
    <w:lvl w:ilvl="1">
      <w:start w:val="1"/>
      <w:numFmt w:val="decimal"/>
      <w:lvlText w:val="%1.%2"/>
      <w:lvlJc w:val="left"/>
      <w:pPr>
        <w:ind w:left="470" w:hanging="360"/>
      </w:pPr>
      <w:rPr>
        <w:rFonts w:ascii="Times New Roman" w:eastAsia="Times New Roman" w:hAnsi="Times New Roman" w:cs="Times New Roman" w:hint="default"/>
        <w:b/>
        <w:bCs/>
        <w:w w:val="99"/>
        <w:sz w:val="24"/>
        <w:szCs w:val="24"/>
        <w:lang w:val="sl-SI" w:eastAsia="sl-SI" w:bidi="sl-SI"/>
      </w:rPr>
    </w:lvl>
    <w:lvl w:ilvl="2">
      <w:numFmt w:val="bullet"/>
      <w:lvlText w:val="•"/>
      <w:lvlJc w:val="left"/>
      <w:pPr>
        <w:ind w:left="2156" w:hanging="360"/>
      </w:pPr>
      <w:rPr>
        <w:rFonts w:hint="default"/>
        <w:lang w:val="sl-SI" w:eastAsia="sl-SI" w:bidi="sl-SI"/>
      </w:rPr>
    </w:lvl>
    <w:lvl w:ilvl="3">
      <w:numFmt w:val="bullet"/>
      <w:lvlText w:val="•"/>
      <w:lvlJc w:val="left"/>
      <w:pPr>
        <w:ind w:left="2994" w:hanging="360"/>
      </w:pPr>
      <w:rPr>
        <w:rFonts w:hint="default"/>
        <w:lang w:val="sl-SI" w:eastAsia="sl-SI" w:bidi="sl-SI"/>
      </w:rPr>
    </w:lvl>
    <w:lvl w:ilvl="4">
      <w:numFmt w:val="bullet"/>
      <w:lvlText w:val="•"/>
      <w:lvlJc w:val="left"/>
      <w:pPr>
        <w:ind w:left="3832" w:hanging="360"/>
      </w:pPr>
      <w:rPr>
        <w:rFonts w:hint="default"/>
        <w:lang w:val="sl-SI" w:eastAsia="sl-SI" w:bidi="sl-SI"/>
      </w:rPr>
    </w:lvl>
    <w:lvl w:ilvl="5">
      <w:numFmt w:val="bullet"/>
      <w:lvlText w:val="•"/>
      <w:lvlJc w:val="left"/>
      <w:pPr>
        <w:ind w:left="4670" w:hanging="360"/>
      </w:pPr>
      <w:rPr>
        <w:rFonts w:hint="default"/>
        <w:lang w:val="sl-SI" w:eastAsia="sl-SI" w:bidi="sl-SI"/>
      </w:rPr>
    </w:lvl>
    <w:lvl w:ilvl="6">
      <w:numFmt w:val="bullet"/>
      <w:lvlText w:val="•"/>
      <w:lvlJc w:val="left"/>
      <w:pPr>
        <w:ind w:left="5508" w:hanging="360"/>
      </w:pPr>
      <w:rPr>
        <w:rFonts w:hint="default"/>
        <w:lang w:val="sl-SI" w:eastAsia="sl-SI" w:bidi="sl-SI"/>
      </w:rPr>
    </w:lvl>
    <w:lvl w:ilvl="7">
      <w:numFmt w:val="bullet"/>
      <w:lvlText w:val="•"/>
      <w:lvlJc w:val="left"/>
      <w:pPr>
        <w:ind w:left="6346" w:hanging="360"/>
      </w:pPr>
      <w:rPr>
        <w:rFonts w:hint="default"/>
        <w:lang w:val="sl-SI" w:eastAsia="sl-SI" w:bidi="sl-SI"/>
      </w:rPr>
    </w:lvl>
    <w:lvl w:ilvl="8">
      <w:numFmt w:val="bullet"/>
      <w:lvlText w:val="•"/>
      <w:lvlJc w:val="left"/>
      <w:pPr>
        <w:ind w:left="7184" w:hanging="360"/>
      </w:pPr>
      <w:rPr>
        <w:rFonts w:hint="default"/>
        <w:lang w:val="sl-SI" w:eastAsia="sl-SI" w:bidi="sl-SI"/>
      </w:rPr>
    </w:lvl>
  </w:abstractNum>
  <w:abstractNum w:abstractNumId="3" w15:restartNumberingAfterBreak="0">
    <w:nsid w:val="3D633A11"/>
    <w:multiLevelType w:val="multilevel"/>
    <w:tmpl w:val="BC1AD0B0"/>
    <w:lvl w:ilvl="0">
      <w:start w:val="1"/>
      <w:numFmt w:val="decimal"/>
      <w:lvlText w:val="%1"/>
      <w:lvlJc w:val="left"/>
      <w:pPr>
        <w:ind w:left="360" w:hanging="360"/>
      </w:pPr>
      <w:rPr>
        <w:rFonts w:hint="default"/>
        <w:lang w:val="sl-SI" w:eastAsia="sl-SI" w:bidi="sl-SI"/>
      </w:rPr>
    </w:lvl>
    <w:lvl w:ilvl="1">
      <w:start w:val="3"/>
      <w:numFmt w:val="decimal"/>
      <w:lvlText w:val="%1.%2"/>
      <w:lvlJc w:val="left"/>
      <w:pPr>
        <w:ind w:left="360" w:hanging="360"/>
      </w:pPr>
      <w:rPr>
        <w:rFonts w:ascii="Times New Roman" w:eastAsia="Times New Roman" w:hAnsi="Times New Roman" w:cs="Times New Roman" w:hint="default"/>
        <w:b/>
        <w:bCs/>
        <w:spacing w:val="-2"/>
        <w:w w:val="99"/>
        <w:sz w:val="24"/>
        <w:szCs w:val="24"/>
        <w:lang w:val="sl-SI" w:eastAsia="sl-SI" w:bidi="sl-SI"/>
      </w:rPr>
    </w:lvl>
    <w:lvl w:ilvl="2">
      <w:numFmt w:val="bullet"/>
      <w:lvlText w:val="•"/>
      <w:lvlJc w:val="left"/>
      <w:pPr>
        <w:ind w:left="2003" w:hanging="360"/>
      </w:pPr>
      <w:rPr>
        <w:rFonts w:hint="default"/>
        <w:lang w:val="sl-SI" w:eastAsia="sl-SI" w:bidi="sl-SI"/>
      </w:rPr>
    </w:lvl>
    <w:lvl w:ilvl="3">
      <w:numFmt w:val="bullet"/>
      <w:lvlText w:val="•"/>
      <w:lvlJc w:val="left"/>
      <w:pPr>
        <w:ind w:left="2824" w:hanging="360"/>
      </w:pPr>
      <w:rPr>
        <w:rFonts w:hint="default"/>
        <w:lang w:val="sl-SI" w:eastAsia="sl-SI" w:bidi="sl-SI"/>
      </w:rPr>
    </w:lvl>
    <w:lvl w:ilvl="4">
      <w:numFmt w:val="bullet"/>
      <w:lvlText w:val="•"/>
      <w:lvlJc w:val="left"/>
      <w:pPr>
        <w:ind w:left="3646" w:hanging="360"/>
      </w:pPr>
      <w:rPr>
        <w:rFonts w:hint="default"/>
        <w:lang w:val="sl-SI" w:eastAsia="sl-SI" w:bidi="sl-SI"/>
      </w:rPr>
    </w:lvl>
    <w:lvl w:ilvl="5">
      <w:numFmt w:val="bullet"/>
      <w:lvlText w:val="•"/>
      <w:lvlJc w:val="left"/>
      <w:pPr>
        <w:ind w:left="4468" w:hanging="360"/>
      </w:pPr>
      <w:rPr>
        <w:rFonts w:hint="default"/>
        <w:lang w:val="sl-SI" w:eastAsia="sl-SI" w:bidi="sl-SI"/>
      </w:rPr>
    </w:lvl>
    <w:lvl w:ilvl="6">
      <w:numFmt w:val="bullet"/>
      <w:lvlText w:val="•"/>
      <w:lvlJc w:val="left"/>
      <w:pPr>
        <w:ind w:left="5289" w:hanging="360"/>
      </w:pPr>
      <w:rPr>
        <w:rFonts w:hint="default"/>
        <w:lang w:val="sl-SI" w:eastAsia="sl-SI" w:bidi="sl-SI"/>
      </w:rPr>
    </w:lvl>
    <w:lvl w:ilvl="7">
      <w:numFmt w:val="bullet"/>
      <w:lvlText w:val="•"/>
      <w:lvlJc w:val="left"/>
      <w:pPr>
        <w:ind w:left="6111" w:hanging="360"/>
      </w:pPr>
      <w:rPr>
        <w:rFonts w:hint="default"/>
        <w:lang w:val="sl-SI" w:eastAsia="sl-SI" w:bidi="sl-SI"/>
      </w:rPr>
    </w:lvl>
    <w:lvl w:ilvl="8">
      <w:numFmt w:val="bullet"/>
      <w:lvlText w:val="•"/>
      <w:lvlJc w:val="left"/>
      <w:pPr>
        <w:ind w:left="6933" w:hanging="360"/>
      </w:pPr>
      <w:rPr>
        <w:rFonts w:hint="default"/>
        <w:lang w:val="sl-SI" w:eastAsia="sl-SI" w:bidi="sl-SI"/>
      </w:rPr>
    </w:lvl>
  </w:abstractNum>
  <w:abstractNum w:abstractNumId="4" w15:restartNumberingAfterBreak="0">
    <w:nsid w:val="3F031968"/>
    <w:multiLevelType w:val="multilevel"/>
    <w:tmpl w:val="7076C46E"/>
    <w:lvl w:ilvl="0">
      <w:start w:val="6"/>
      <w:numFmt w:val="decimal"/>
      <w:lvlText w:val="%1"/>
      <w:lvlJc w:val="left"/>
      <w:pPr>
        <w:ind w:left="468" w:hanging="360"/>
      </w:pPr>
      <w:rPr>
        <w:rFonts w:hint="default"/>
        <w:lang w:val="sl-SI" w:eastAsia="sl-SI" w:bidi="sl-SI"/>
      </w:rPr>
    </w:lvl>
    <w:lvl w:ilvl="1">
      <w:start w:val="1"/>
      <w:numFmt w:val="decimal"/>
      <w:lvlText w:val="%1.%2"/>
      <w:lvlJc w:val="left"/>
      <w:pPr>
        <w:ind w:left="468" w:hanging="360"/>
      </w:pPr>
      <w:rPr>
        <w:rFonts w:ascii="Times New Roman" w:eastAsia="Times New Roman" w:hAnsi="Times New Roman" w:cs="Times New Roman" w:hint="default"/>
        <w:b/>
        <w:bCs/>
        <w:spacing w:val="-4"/>
        <w:w w:val="99"/>
        <w:sz w:val="24"/>
        <w:szCs w:val="24"/>
        <w:lang w:val="sl-SI" w:eastAsia="sl-SI" w:bidi="sl-SI"/>
      </w:rPr>
    </w:lvl>
    <w:lvl w:ilvl="2">
      <w:numFmt w:val="bullet"/>
      <w:lvlText w:val="•"/>
      <w:lvlJc w:val="left"/>
      <w:pPr>
        <w:ind w:left="2140" w:hanging="360"/>
      </w:pPr>
      <w:rPr>
        <w:rFonts w:hint="default"/>
        <w:lang w:val="sl-SI" w:eastAsia="sl-SI" w:bidi="sl-SI"/>
      </w:rPr>
    </w:lvl>
    <w:lvl w:ilvl="3">
      <w:numFmt w:val="bullet"/>
      <w:lvlText w:val="•"/>
      <w:lvlJc w:val="left"/>
      <w:pPr>
        <w:ind w:left="2981" w:hanging="360"/>
      </w:pPr>
      <w:rPr>
        <w:rFonts w:hint="default"/>
        <w:lang w:val="sl-SI" w:eastAsia="sl-SI" w:bidi="sl-SI"/>
      </w:rPr>
    </w:lvl>
    <w:lvl w:ilvl="4">
      <w:numFmt w:val="bullet"/>
      <w:lvlText w:val="•"/>
      <w:lvlJc w:val="left"/>
      <w:pPr>
        <w:ind w:left="3821" w:hanging="360"/>
      </w:pPr>
      <w:rPr>
        <w:rFonts w:hint="default"/>
        <w:lang w:val="sl-SI" w:eastAsia="sl-SI" w:bidi="sl-SI"/>
      </w:rPr>
    </w:lvl>
    <w:lvl w:ilvl="5">
      <w:numFmt w:val="bullet"/>
      <w:lvlText w:val="•"/>
      <w:lvlJc w:val="left"/>
      <w:pPr>
        <w:ind w:left="4662" w:hanging="360"/>
      </w:pPr>
      <w:rPr>
        <w:rFonts w:hint="default"/>
        <w:lang w:val="sl-SI" w:eastAsia="sl-SI" w:bidi="sl-SI"/>
      </w:rPr>
    </w:lvl>
    <w:lvl w:ilvl="6">
      <w:numFmt w:val="bullet"/>
      <w:lvlText w:val="•"/>
      <w:lvlJc w:val="left"/>
      <w:pPr>
        <w:ind w:left="5502" w:hanging="360"/>
      </w:pPr>
      <w:rPr>
        <w:rFonts w:hint="default"/>
        <w:lang w:val="sl-SI" w:eastAsia="sl-SI" w:bidi="sl-SI"/>
      </w:rPr>
    </w:lvl>
    <w:lvl w:ilvl="7">
      <w:numFmt w:val="bullet"/>
      <w:lvlText w:val="•"/>
      <w:lvlJc w:val="left"/>
      <w:pPr>
        <w:ind w:left="6343" w:hanging="360"/>
      </w:pPr>
      <w:rPr>
        <w:rFonts w:hint="default"/>
        <w:lang w:val="sl-SI" w:eastAsia="sl-SI" w:bidi="sl-SI"/>
      </w:rPr>
    </w:lvl>
    <w:lvl w:ilvl="8">
      <w:numFmt w:val="bullet"/>
      <w:lvlText w:val="•"/>
      <w:lvlJc w:val="left"/>
      <w:pPr>
        <w:ind w:left="7183" w:hanging="360"/>
      </w:pPr>
      <w:rPr>
        <w:rFonts w:hint="default"/>
        <w:lang w:val="sl-SI" w:eastAsia="sl-SI" w:bidi="sl-SI"/>
      </w:rPr>
    </w:lvl>
  </w:abstractNum>
  <w:abstractNum w:abstractNumId="5" w15:restartNumberingAfterBreak="0">
    <w:nsid w:val="43085143"/>
    <w:multiLevelType w:val="multilevel"/>
    <w:tmpl w:val="3000C504"/>
    <w:lvl w:ilvl="0">
      <w:start w:val="4"/>
      <w:numFmt w:val="decimal"/>
      <w:lvlText w:val="%1"/>
      <w:lvlJc w:val="left"/>
      <w:pPr>
        <w:ind w:left="477" w:hanging="360"/>
      </w:pPr>
      <w:rPr>
        <w:rFonts w:hint="default"/>
        <w:lang w:val="sl-SI" w:eastAsia="sl-SI" w:bidi="sl-SI"/>
      </w:rPr>
    </w:lvl>
    <w:lvl w:ilvl="1">
      <w:start w:val="1"/>
      <w:numFmt w:val="decimal"/>
      <w:lvlText w:val="%1.%2"/>
      <w:lvlJc w:val="left"/>
      <w:pPr>
        <w:ind w:left="477" w:hanging="360"/>
      </w:pPr>
      <w:rPr>
        <w:rFonts w:ascii="Times New Roman" w:eastAsia="Times New Roman" w:hAnsi="Times New Roman" w:cs="Times New Roman" w:hint="default"/>
        <w:b/>
        <w:bCs/>
        <w:spacing w:val="-2"/>
        <w:w w:val="99"/>
        <w:sz w:val="24"/>
        <w:szCs w:val="24"/>
        <w:lang w:val="sl-SI" w:eastAsia="sl-SI" w:bidi="sl-SI"/>
      </w:rPr>
    </w:lvl>
    <w:lvl w:ilvl="2">
      <w:numFmt w:val="bullet"/>
      <w:lvlText w:val="•"/>
      <w:lvlJc w:val="left"/>
      <w:pPr>
        <w:ind w:left="2160" w:hanging="360"/>
      </w:pPr>
      <w:rPr>
        <w:rFonts w:hint="default"/>
        <w:lang w:val="sl-SI" w:eastAsia="sl-SI" w:bidi="sl-SI"/>
      </w:rPr>
    </w:lvl>
    <w:lvl w:ilvl="3">
      <w:numFmt w:val="bullet"/>
      <w:lvlText w:val="•"/>
      <w:lvlJc w:val="left"/>
      <w:pPr>
        <w:ind w:left="3001" w:hanging="360"/>
      </w:pPr>
      <w:rPr>
        <w:rFonts w:hint="default"/>
        <w:lang w:val="sl-SI" w:eastAsia="sl-SI" w:bidi="sl-SI"/>
      </w:rPr>
    </w:lvl>
    <w:lvl w:ilvl="4">
      <w:numFmt w:val="bullet"/>
      <w:lvlText w:val="•"/>
      <w:lvlJc w:val="left"/>
      <w:pPr>
        <w:ind w:left="3841" w:hanging="360"/>
      </w:pPr>
      <w:rPr>
        <w:rFonts w:hint="default"/>
        <w:lang w:val="sl-SI" w:eastAsia="sl-SI" w:bidi="sl-SI"/>
      </w:rPr>
    </w:lvl>
    <w:lvl w:ilvl="5">
      <w:numFmt w:val="bullet"/>
      <w:lvlText w:val="•"/>
      <w:lvlJc w:val="left"/>
      <w:pPr>
        <w:ind w:left="4681" w:hanging="360"/>
      </w:pPr>
      <w:rPr>
        <w:rFonts w:hint="default"/>
        <w:lang w:val="sl-SI" w:eastAsia="sl-SI" w:bidi="sl-SI"/>
      </w:rPr>
    </w:lvl>
    <w:lvl w:ilvl="6">
      <w:numFmt w:val="bullet"/>
      <w:lvlText w:val="•"/>
      <w:lvlJc w:val="left"/>
      <w:pPr>
        <w:ind w:left="5522" w:hanging="360"/>
      </w:pPr>
      <w:rPr>
        <w:rFonts w:hint="default"/>
        <w:lang w:val="sl-SI" w:eastAsia="sl-SI" w:bidi="sl-SI"/>
      </w:rPr>
    </w:lvl>
    <w:lvl w:ilvl="7">
      <w:numFmt w:val="bullet"/>
      <w:lvlText w:val="•"/>
      <w:lvlJc w:val="left"/>
      <w:pPr>
        <w:ind w:left="6362" w:hanging="360"/>
      </w:pPr>
      <w:rPr>
        <w:rFonts w:hint="default"/>
        <w:lang w:val="sl-SI" w:eastAsia="sl-SI" w:bidi="sl-SI"/>
      </w:rPr>
    </w:lvl>
    <w:lvl w:ilvl="8">
      <w:numFmt w:val="bullet"/>
      <w:lvlText w:val="•"/>
      <w:lvlJc w:val="left"/>
      <w:pPr>
        <w:ind w:left="7203" w:hanging="360"/>
      </w:pPr>
      <w:rPr>
        <w:rFonts w:hint="default"/>
        <w:lang w:val="sl-SI" w:eastAsia="sl-SI" w:bidi="sl-SI"/>
      </w:rPr>
    </w:lvl>
  </w:abstractNum>
  <w:abstractNum w:abstractNumId="6" w15:restartNumberingAfterBreak="0">
    <w:nsid w:val="46225980"/>
    <w:multiLevelType w:val="multilevel"/>
    <w:tmpl w:val="B4C225CC"/>
    <w:lvl w:ilvl="0">
      <w:start w:val="2"/>
      <w:numFmt w:val="decimal"/>
      <w:lvlText w:val="%1"/>
      <w:lvlJc w:val="left"/>
      <w:pPr>
        <w:ind w:left="468" w:hanging="360"/>
      </w:pPr>
      <w:rPr>
        <w:rFonts w:hint="default"/>
        <w:lang w:val="sl-SI" w:eastAsia="sl-SI" w:bidi="sl-SI"/>
      </w:rPr>
    </w:lvl>
    <w:lvl w:ilvl="1">
      <w:start w:val="1"/>
      <w:numFmt w:val="decimal"/>
      <w:lvlText w:val="%1.%2"/>
      <w:lvlJc w:val="left"/>
      <w:pPr>
        <w:ind w:left="468" w:hanging="360"/>
      </w:pPr>
      <w:rPr>
        <w:rFonts w:ascii="Times New Roman" w:eastAsia="Times New Roman" w:hAnsi="Times New Roman" w:cs="Times New Roman" w:hint="default"/>
        <w:b/>
        <w:bCs/>
        <w:spacing w:val="-2"/>
        <w:w w:val="99"/>
        <w:sz w:val="24"/>
        <w:szCs w:val="24"/>
        <w:lang w:val="sl-SI" w:eastAsia="sl-SI" w:bidi="sl-SI"/>
      </w:rPr>
    </w:lvl>
    <w:lvl w:ilvl="2">
      <w:numFmt w:val="bullet"/>
      <w:lvlText w:val="•"/>
      <w:lvlJc w:val="left"/>
      <w:pPr>
        <w:ind w:left="2140" w:hanging="360"/>
      </w:pPr>
      <w:rPr>
        <w:rFonts w:hint="default"/>
        <w:lang w:val="sl-SI" w:eastAsia="sl-SI" w:bidi="sl-SI"/>
      </w:rPr>
    </w:lvl>
    <w:lvl w:ilvl="3">
      <w:numFmt w:val="bullet"/>
      <w:lvlText w:val="•"/>
      <w:lvlJc w:val="left"/>
      <w:pPr>
        <w:ind w:left="2981" w:hanging="360"/>
      </w:pPr>
      <w:rPr>
        <w:rFonts w:hint="default"/>
        <w:lang w:val="sl-SI" w:eastAsia="sl-SI" w:bidi="sl-SI"/>
      </w:rPr>
    </w:lvl>
    <w:lvl w:ilvl="4">
      <w:numFmt w:val="bullet"/>
      <w:lvlText w:val="•"/>
      <w:lvlJc w:val="left"/>
      <w:pPr>
        <w:ind w:left="3821" w:hanging="360"/>
      </w:pPr>
      <w:rPr>
        <w:rFonts w:hint="default"/>
        <w:lang w:val="sl-SI" w:eastAsia="sl-SI" w:bidi="sl-SI"/>
      </w:rPr>
    </w:lvl>
    <w:lvl w:ilvl="5">
      <w:numFmt w:val="bullet"/>
      <w:lvlText w:val="•"/>
      <w:lvlJc w:val="left"/>
      <w:pPr>
        <w:ind w:left="4662" w:hanging="360"/>
      </w:pPr>
      <w:rPr>
        <w:rFonts w:hint="default"/>
        <w:lang w:val="sl-SI" w:eastAsia="sl-SI" w:bidi="sl-SI"/>
      </w:rPr>
    </w:lvl>
    <w:lvl w:ilvl="6">
      <w:numFmt w:val="bullet"/>
      <w:lvlText w:val="•"/>
      <w:lvlJc w:val="left"/>
      <w:pPr>
        <w:ind w:left="5502" w:hanging="360"/>
      </w:pPr>
      <w:rPr>
        <w:rFonts w:hint="default"/>
        <w:lang w:val="sl-SI" w:eastAsia="sl-SI" w:bidi="sl-SI"/>
      </w:rPr>
    </w:lvl>
    <w:lvl w:ilvl="7">
      <w:numFmt w:val="bullet"/>
      <w:lvlText w:val="•"/>
      <w:lvlJc w:val="left"/>
      <w:pPr>
        <w:ind w:left="6343" w:hanging="360"/>
      </w:pPr>
      <w:rPr>
        <w:rFonts w:hint="default"/>
        <w:lang w:val="sl-SI" w:eastAsia="sl-SI" w:bidi="sl-SI"/>
      </w:rPr>
    </w:lvl>
    <w:lvl w:ilvl="8">
      <w:numFmt w:val="bullet"/>
      <w:lvlText w:val="•"/>
      <w:lvlJc w:val="left"/>
      <w:pPr>
        <w:ind w:left="7183" w:hanging="360"/>
      </w:pPr>
      <w:rPr>
        <w:rFonts w:hint="default"/>
        <w:lang w:val="sl-SI" w:eastAsia="sl-SI" w:bidi="sl-SI"/>
      </w:rPr>
    </w:lvl>
  </w:abstractNum>
  <w:abstractNum w:abstractNumId="7" w15:restartNumberingAfterBreak="0">
    <w:nsid w:val="4DAA4A28"/>
    <w:multiLevelType w:val="multilevel"/>
    <w:tmpl w:val="7B1094CC"/>
    <w:lvl w:ilvl="0">
      <w:start w:val="15"/>
      <w:numFmt w:val="decimal"/>
      <w:lvlText w:val="%1"/>
      <w:lvlJc w:val="left"/>
      <w:pPr>
        <w:ind w:left="108" w:hanging="480"/>
      </w:pPr>
      <w:rPr>
        <w:rFonts w:hint="default"/>
        <w:lang w:val="sl-SI" w:eastAsia="sl-SI" w:bidi="sl-SI"/>
      </w:rPr>
    </w:lvl>
    <w:lvl w:ilvl="1">
      <w:start w:val="1"/>
      <w:numFmt w:val="decimal"/>
      <w:lvlText w:val="%1.%2"/>
      <w:lvlJc w:val="left"/>
      <w:pPr>
        <w:ind w:left="108" w:hanging="480"/>
      </w:pPr>
      <w:rPr>
        <w:rFonts w:ascii="Times New Roman" w:eastAsia="Times New Roman" w:hAnsi="Times New Roman" w:cs="Times New Roman" w:hint="default"/>
        <w:b/>
        <w:bCs/>
        <w:spacing w:val="-3"/>
        <w:w w:val="99"/>
        <w:sz w:val="24"/>
        <w:szCs w:val="24"/>
        <w:lang w:val="sl-SI" w:eastAsia="sl-SI" w:bidi="sl-SI"/>
      </w:rPr>
    </w:lvl>
    <w:lvl w:ilvl="2">
      <w:numFmt w:val="bullet"/>
      <w:lvlText w:val="•"/>
      <w:lvlJc w:val="left"/>
      <w:pPr>
        <w:ind w:left="1852" w:hanging="480"/>
      </w:pPr>
      <w:rPr>
        <w:rFonts w:hint="default"/>
        <w:lang w:val="sl-SI" w:eastAsia="sl-SI" w:bidi="sl-SI"/>
      </w:rPr>
    </w:lvl>
    <w:lvl w:ilvl="3">
      <w:numFmt w:val="bullet"/>
      <w:lvlText w:val="•"/>
      <w:lvlJc w:val="left"/>
      <w:pPr>
        <w:ind w:left="2729" w:hanging="480"/>
      </w:pPr>
      <w:rPr>
        <w:rFonts w:hint="default"/>
        <w:lang w:val="sl-SI" w:eastAsia="sl-SI" w:bidi="sl-SI"/>
      </w:rPr>
    </w:lvl>
    <w:lvl w:ilvl="4">
      <w:numFmt w:val="bullet"/>
      <w:lvlText w:val="•"/>
      <w:lvlJc w:val="left"/>
      <w:pPr>
        <w:ind w:left="3605" w:hanging="480"/>
      </w:pPr>
      <w:rPr>
        <w:rFonts w:hint="default"/>
        <w:lang w:val="sl-SI" w:eastAsia="sl-SI" w:bidi="sl-SI"/>
      </w:rPr>
    </w:lvl>
    <w:lvl w:ilvl="5">
      <w:numFmt w:val="bullet"/>
      <w:lvlText w:val="•"/>
      <w:lvlJc w:val="left"/>
      <w:pPr>
        <w:ind w:left="4482" w:hanging="480"/>
      </w:pPr>
      <w:rPr>
        <w:rFonts w:hint="default"/>
        <w:lang w:val="sl-SI" w:eastAsia="sl-SI" w:bidi="sl-SI"/>
      </w:rPr>
    </w:lvl>
    <w:lvl w:ilvl="6">
      <w:numFmt w:val="bullet"/>
      <w:lvlText w:val="•"/>
      <w:lvlJc w:val="left"/>
      <w:pPr>
        <w:ind w:left="5358" w:hanging="480"/>
      </w:pPr>
      <w:rPr>
        <w:rFonts w:hint="default"/>
        <w:lang w:val="sl-SI" w:eastAsia="sl-SI" w:bidi="sl-SI"/>
      </w:rPr>
    </w:lvl>
    <w:lvl w:ilvl="7">
      <w:numFmt w:val="bullet"/>
      <w:lvlText w:val="•"/>
      <w:lvlJc w:val="left"/>
      <w:pPr>
        <w:ind w:left="6235" w:hanging="480"/>
      </w:pPr>
      <w:rPr>
        <w:rFonts w:hint="default"/>
        <w:lang w:val="sl-SI" w:eastAsia="sl-SI" w:bidi="sl-SI"/>
      </w:rPr>
    </w:lvl>
    <w:lvl w:ilvl="8">
      <w:numFmt w:val="bullet"/>
      <w:lvlText w:val="•"/>
      <w:lvlJc w:val="left"/>
      <w:pPr>
        <w:ind w:left="7111" w:hanging="480"/>
      </w:pPr>
      <w:rPr>
        <w:rFonts w:hint="default"/>
        <w:lang w:val="sl-SI" w:eastAsia="sl-SI" w:bidi="sl-SI"/>
      </w:rPr>
    </w:lvl>
  </w:abstractNum>
  <w:abstractNum w:abstractNumId="8" w15:restartNumberingAfterBreak="0">
    <w:nsid w:val="50046EEE"/>
    <w:multiLevelType w:val="multilevel"/>
    <w:tmpl w:val="DBB41B76"/>
    <w:lvl w:ilvl="0">
      <w:start w:val="12"/>
      <w:numFmt w:val="decimal"/>
      <w:lvlText w:val="%1"/>
      <w:lvlJc w:val="left"/>
      <w:pPr>
        <w:ind w:left="588" w:hanging="480"/>
      </w:pPr>
      <w:rPr>
        <w:rFonts w:hint="default"/>
        <w:lang w:val="sl-SI" w:eastAsia="sl-SI" w:bidi="sl-SI"/>
      </w:rPr>
    </w:lvl>
    <w:lvl w:ilvl="1">
      <w:start w:val="1"/>
      <w:numFmt w:val="decimal"/>
      <w:lvlText w:val="%1.%2"/>
      <w:lvlJc w:val="left"/>
      <w:pPr>
        <w:ind w:left="588" w:hanging="480"/>
      </w:pPr>
      <w:rPr>
        <w:rFonts w:ascii="Times New Roman" w:eastAsia="Times New Roman" w:hAnsi="Times New Roman" w:cs="Times New Roman" w:hint="default"/>
        <w:b/>
        <w:bCs/>
        <w:spacing w:val="-1"/>
        <w:w w:val="100"/>
        <w:sz w:val="24"/>
        <w:szCs w:val="24"/>
        <w:lang w:val="sl-SI" w:eastAsia="sl-SI" w:bidi="sl-SI"/>
      </w:rPr>
    </w:lvl>
    <w:lvl w:ilvl="2">
      <w:numFmt w:val="bullet"/>
      <w:lvlText w:val="•"/>
      <w:lvlJc w:val="left"/>
      <w:pPr>
        <w:ind w:left="2236" w:hanging="480"/>
      </w:pPr>
      <w:rPr>
        <w:rFonts w:hint="default"/>
        <w:lang w:val="sl-SI" w:eastAsia="sl-SI" w:bidi="sl-SI"/>
      </w:rPr>
    </w:lvl>
    <w:lvl w:ilvl="3">
      <w:numFmt w:val="bullet"/>
      <w:lvlText w:val="•"/>
      <w:lvlJc w:val="left"/>
      <w:pPr>
        <w:ind w:left="3065" w:hanging="480"/>
      </w:pPr>
      <w:rPr>
        <w:rFonts w:hint="default"/>
        <w:lang w:val="sl-SI" w:eastAsia="sl-SI" w:bidi="sl-SI"/>
      </w:rPr>
    </w:lvl>
    <w:lvl w:ilvl="4">
      <w:numFmt w:val="bullet"/>
      <w:lvlText w:val="•"/>
      <w:lvlJc w:val="left"/>
      <w:pPr>
        <w:ind w:left="3893" w:hanging="480"/>
      </w:pPr>
      <w:rPr>
        <w:rFonts w:hint="default"/>
        <w:lang w:val="sl-SI" w:eastAsia="sl-SI" w:bidi="sl-SI"/>
      </w:rPr>
    </w:lvl>
    <w:lvl w:ilvl="5">
      <w:numFmt w:val="bullet"/>
      <w:lvlText w:val="•"/>
      <w:lvlJc w:val="left"/>
      <w:pPr>
        <w:ind w:left="4722" w:hanging="480"/>
      </w:pPr>
      <w:rPr>
        <w:rFonts w:hint="default"/>
        <w:lang w:val="sl-SI" w:eastAsia="sl-SI" w:bidi="sl-SI"/>
      </w:rPr>
    </w:lvl>
    <w:lvl w:ilvl="6">
      <w:numFmt w:val="bullet"/>
      <w:lvlText w:val="•"/>
      <w:lvlJc w:val="left"/>
      <w:pPr>
        <w:ind w:left="5550" w:hanging="480"/>
      </w:pPr>
      <w:rPr>
        <w:rFonts w:hint="default"/>
        <w:lang w:val="sl-SI" w:eastAsia="sl-SI" w:bidi="sl-SI"/>
      </w:rPr>
    </w:lvl>
    <w:lvl w:ilvl="7">
      <w:numFmt w:val="bullet"/>
      <w:lvlText w:val="•"/>
      <w:lvlJc w:val="left"/>
      <w:pPr>
        <w:ind w:left="6379" w:hanging="480"/>
      </w:pPr>
      <w:rPr>
        <w:rFonts w:hint="default"/>
        <w:lang w:val="sl-SI" w:eastAsia="sl-SI" w:bidi="sl-SI"/>
      </w:rPr>
    </w:lvl>
    <w:lvl w:ilvl="8">
      <w:numFmt w:val="bullet"/>
      <w:lvlText w:val="•"/>
      <w:lvlJc w:val="left"/>
      <w:pPr>
        <w:ind w:left="7207" w:hanging="480"/>
      </w:pPr>
      <w:rPr>
        <w:rFonts w:hint="default"/>
        <w:lang w:val="sl-SI" w:eastAsia="sl-SI" w:bidi="sl-SI"/>
      </w:rPr>
    </w:lvl>
  </w:abstractNum>
  <w:abstractNum w:abstractNumId="9" w15:restartNumberingAfterBreak="0">
    <w:nsid w:val="62133B00"/>
    <w:multiLevelType w:val="multilevel"/>
    <w:tmpl w:val="EEF614D2"/>
    <w:lvl w:ilvl="0">
      <w:start w:val="5"/>
      <w:numFmt w:val="decimal"/>
      <w:lvlText w:val="%1"/>
      <w:lvlJc w:val="left"/>
      <w:pPr>
        <w:ind w:left="468" w:hanging="360"/>
      </w:pPr>
      <w:rPr>
        <w:rFonts w:hint="default"/>
        <w:lang w:val="sl-SI" w:eastAsia="sl-SI" w:bidi="sl-SI"/>
      </w:rPr>
    </w:lvl>
    <w:lvl w:ilvl="1">
      <w:start w:val="1"/>
      <w:numFmt w:val="decimal"/>
      <w:lvlText w:val="%1.%2"/>
      <w:lvlJc w:val="left"/>
      <w:pPr>
        <w:ind w:left="468" w:hanging="360"/>
      </w:pPr>
      <w:rPr>
        <w:rFonts w:ascii="Times New Roman" w:eastAsia="Times New Roman" w:hAnsi="Times New Roman" w:cs="Times New Roman" w:hint="default"/>
        <w:b/>
        <w:bCs/>
        <w:spacing w:val="-3"/>
        <w:w w:val="99"/>
        <w:sz w:val="24"/>
        <w:szCs w:val="24"/>
        <w:lang w:val="sl-SI" w:eastAsia="sl-SI" w:bidi="sl-SI"/>
      </w:rPr>
    </w:lvl>
    <w:lvl w:ilvl="2">
      <w:numFmt w:val="bullet"/>
      <w:lvlText w:val="•"/>
      <w:lvlJc w:val="left"/>
      <w:pPr>
        <w:ind w:left="2140" w:hanging="360"/>
      </w:pPr>
      <w:rPr>
        <w:rFonts w:hint="default"/>
        <w:lang w:val="sl-SI" w:eastAsia="sl-SI" w:bidi="sl-SI"/>
      </w:rPr>
    </w:lvl>
    <w:lvl w:ilvl="3">
      <w:numFmt w:val="bullet"/>
      <w:lvlText w:val="•"/>
      <w:lvlJc w:val="left"/>
      <w:pPr>
        <w:ind w:left="2981" w:hanging="360"/>
      </w:pPr>
      <w:rPr>
        <w:rFonts w:hint="default"/>
        <w:lang w:val="sl-SI" w:eastAsia="sl-SI" w:bidi="sl-SI"/>
      </w:rPr>
    </w:lvl>
    <w:lvl w:ilvl="4">
      <w:numFmt w:val="bullet"/>
      <w:lvlText w:val="•"/>
      <w:lvlJc w:val="left"/>
      <w:pPr>
        <w:ind w:left="3821" w:hanging="360"/>
      </w:pPr>
      <w:rPr>
        <w:rFonts w:hint="default"/>
        <w:lang w:val="sl-SI" w:eastAsia="sl-SI" w:bidi="sl-SI"/>
      </w:rPr>
    </w:lvl>
    <w:lvl w:ilvl="5">
      <w:numFmt w:val="bullet"/>
      <w:lvlText w:val="•"/>
      <w:lvlJc w:val="left"/>
      <w:pPr>
        <w:ind w:left="4662" w:hanging="360"/>
      </w:pPr>
      <w:rPr>
        <w:rFonts w:hint="default"/>
        <w:lang w:val="sl-SI" w:eastAsia="sl-SI" w:bidi="sl-SI"/>
      </w:rPr>
    </w:lvl>
    <w:lvl w:ilvl="6">
      <w:numFmt w:val="bullet"/>
      <w:lvlText w:val="•"/>
      <w:lvlJc w:val="left"/>
      <w:pPr>
        <w:ind w:left="5502" w:hanging="360"/>
      </w:pPr>
      <w:rPr>
        <w:rFonts w:hint="default"/>
        <w:lang w:val="sl-SI" w:eastAsia="sl-SI" w:bidi="sl-SI"/>
      </w:rPr>
    </w:lvl>
    <w:lvl w:ilvl="7">
      <w:numFmt w:val="bullet"/>
      <w:lvlText w:val="•"/>
      <w:lvlJc w:val="left"/>
      <w:pPr>
        <w:ind w:left="6343" w:hanging="360"/>
      </w:pPr>
      <w:rPr>
        <w:rFonts w:hint="default"/>
        <w:lang w:val="sl-SI" w:eastAsia="sl-SI" w:bidi="sl-SI"/>
      </w:rPr>
    </w:lvl>
    <w:lvl w:ilvl="8">
      <w:numFmt w:val="bullet"/>
      <w:lvlText w:val="•"/>
      <w:lvlJc w:val="left"/>
      <w:pPr>
        <w:ind w:left="7183" w:hanging="360"/>
      </w:pPr>
      <w:rPr>
        <w:rFonts w:hint="default"/>
        <w:lang w:val="sl-SI" w:eastAsia="sl-SI" w:bidi="sl-SI"/>
      </w:rPr>
    </w:lvl>
  </w:abstractNum>
  <w:abstractNum w:abstractNumId="10" w15:restartNumberingAfterBreak="0">
    <w:nsid w:val="709D101A"/>
    <w:multiLevelType w:val="multilevel"/>
    <w:tmpl w:val="17C8C892"/>
    <w:lvl w:ilvl="0">
      <w:start w:val="8"/>
      <w:numFmt w:val="decimal"/>
      <w:lvlText w:val="%1"/>
      <w:lvlJc w:val="left"/>
      <w:pPr>
        <w:ind w:left="578" w:hanging="360"/>
      </w:pPr>
      <w:rPr>
        <w:rFonts w:hint="default"/>
        <w:lang w:val="sl-SI" w:eastAsia="sl-SI" w:bidi="sl-SI"/>
      </w:rPr>
    </w:lvl>
    <w:lvl w:ilvl="1">
      <w:start w:val="1"/>
      <w:numFmt w:val="decimal"/>
      <w:lvlText w:val="%1.%2"/>
      <w:lvlJc w:val="left"/>
      <w:pPr>
        <w:ind w:left="578" w:hanging="360"/>
      </w:pPr>
      <w:rPr>
        <w:rFonts w:ascii="Times New Roman" w:eastAsia="Times New Roman" w:hAnsi="Times New Roman" w:cs="Times New Roman" w:hint="default"/>
        <w:b/>
        <w:bCs/>
        <w:spacing w:val="-2"/>
        <w:w w:val="99"/>
        <w:sz w:val="24"/>
        <w:szCs w:val="24"/>
        <w:lang w:val="sl-SI" w:eastAsia="sl-SI" w:bidi="sl-SI"/>
      </w:rPr>
    </w:lvl>
    <w:lvl w:ilvl="2">
      <w:numFmt w:val="bullet"/>
      <w:lvlText w:val="•"/>
      <w:lvlJc w:val="left"/>
      <w:pPr>
        <w:ind w:left="2284" w:hanging="360"/>
      </w:pPr>
      <w:rPr>
        <w:rFonts w:hint="default"/>
        <w:lang w:val="sl-SI" w:eastAsia="sl-SI" w:bidi="sl-SI"/>
      </w:rPr>
    </w:lvl>
    <w:lvl w:ilvl="3">
      <w:numFmt w:val="bullet"/>
      <w:lvlText w:val="•"/>
      <w:lvlJc w:val="left"/>
      <w:pPr>
        <w:ind w:left="3136" w:hanging="360"/>
      </w:pPr>
      <w:rPr>
        <w:rFonts w:hint="default"/>
        <w:lang w:val="sl-SI" w:eastAsia="sl-SI" w:bidi="sl-SI"/>
      </w:rPr>
    </w:lvl>
    <w:lvl w:ilvl="4">
      <w:numFmt w:val="bullet"/>
      <w:lvlText w:val="•"/>
      <w:lvlJc w:val="left"/>
      <w:pPr>
        <w:ind w:left="3988" w:hanging="360"/>
      </w:pPr>
      <w:rPr>
        <w:rFonts w:hint="default"/>
        <w:lang w:val="sl-SI" w:eastAsia="sl-SI" w:bidi="sl-SI"/>
      </w:rPr>
    </w:lvl>
    <w:lvl w:ilvl="5">
      <w:numFmt w:val="bullet"/>
      <w:lvlText w:val="•"/>
      <w:lvlJc w:val="left"/>
      <w:pPr>
        <w:ind w:left="4841" w:hanging="360"/>
      </w:pPr>
      <w:rPr>
        <w:rFonts w:hint="default"/>
        <w:lang w:val="sl-SI" w:eastAsia="sl-SI" w:bidi="sl-SI"/>
      </w:rPr>
    </w:lvl>
    <w:lvl w:ilvl="6">
      <w:numFmt w:val="bullet"/>
      <w:lvlText w:val="•"/>
      <w:lvlJc w:val="left"/>
      <w:pPr>
        <w:ind w:left="5693" w:hanging="360"/>
      </w:pPr>
      <w:rPr>
        <w:rFonts w:hint="default"/>
        <w:lang w:val="sl-SI" w:eastAsia="sl-SI" w:bidi="sl-SI"/>
      </w:rPr>
    </w:lvl>
    <w:lvl w:ilvl="7">
      <w:numFmt w:val="bullet"/>
      <w:lvlText w:val="•"/>
      <w:lvlJc w:val="left"/>
      <w:pPr>
        <w:ind w:left="6545" w:hanging="360"/>
      </w:pPr>
      <w:rPr>
        <w:rFonts w:hint="default"/>
        <w:lang w:val="sl-SI" w:eastAsia="sl-SI" w:bidi="sl-SI"/>
      </w:rPr>
    </w:lvl>
    <w:lvl w:ilvl="8">
      <w:numFmt w:val="bullet"/>
      <w:lvlText w:val="•"/>
      <w:lvlJc w:val="left"/>
      <w:pPr>
        <w:ind w:left="7397" w:hanging="360"/>
      </w:pPr>
      <w:rPr>
        <w:rFonts w:hint="default"/>
        <w:lang w:val="sl-SI" w:eastAsia="sl-SI" w:bidi="sl-SI"/>
      </w:rPr>
    </w:lvl>
  </w:abstractNum>
  <w:num w:numId="1">
    <w:abstractNumId w:val="7"/>
  </w:num>
  <w:num w:numId="2">
    <w:abstractNumId w:val="8"/>
  </w:num>
  <w:num w:numId="3">
    <w:abstractNumId w:val="0"/>
  </w:num>
  <w:num w:numId="4">
    <w:abstractNumId w:val="10"/>
  </w:num>
  <w:num w:numId="5">
    <w:abstractNumId w:val="4"/>
  </w:num>
  <w:num w:numId="6">
    <w:abstractNumId w:val="9"/>
  </w:num>
  <w:num w:numId="7">
    <w:abstractNumId w:val="5"/>
  </w:num>
  <w:num w:numId="8">
    <w:abstractNumId w:val="1"/>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F62AB"/>
    <w:rsid w:val="0001483F"/>
    <w:rsid w:val="003C7EDE"/>
    <w:rsid w:val="00483010"/>
    <w:rsid w:val="004C2FE8"/>
    <w:rsid w:val="00503E71"/>
    <w:rsid w:val="005D4CB0"/>
    <w:rsid w:val="00673518"/>
    <w:rsid w:val="00736464"/>
    <w:rsid w:val="009F62AB"/>
    <w:rsid w:val="00B71205"/>
    <w:rsid w:val="00D13636"/>
    <w:rsid w:val="00FA3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F49E3499-AD7C-499E-8BB3-6D8C3A29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lang w:eastAsia="sl-SI" w:bidi="sl-SI"/>
    </w:rPr>
  </w:style>
  <w:style w:type="paragraph" w:styleId="Nadpis1">
    <w:name w:val="heading 1"/>
    <w:basedOn w:val="Normln"/>
    <w:uiPriority w:val="9"/>
    <w:qFormat/>
    <w:pPr>
      <w:ind w:left="468" w:hanging="360"/>
      <w:outlineLvl w:val="0"/>
    </w:pPr>
    <w:rPr>
      <w:b/>
      <w:bCs/>
      <w:sz w:val="24"/>
      <w:szCs w:val="24"/>
    </w:rPr>
  </w:style>
  <w:style w:type="paragraph" w:styleId="Nadpis2">
    <w:name w:val="heading 2"/>
    <w:basedOn w:val="Normln"/>
    <w:uiPriority w:val="9"/>
    <w:unhideWhenUsed/>
    <w:qFormat/>
    <w:pPr>
      <w:spacing w:before="19"/>
      <w:ind w:left="108"/>
      <w:outlineLvl w:val="1"/>
    </w:pPr>
    <w:rPr>
      <w:rFonts w:ascii="Arial" w:eastAsia="Arial" w:hAnsi="Arial" w:cs="Arial"/>
      <w:b/>
      <w:bCs/>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7"/>
      <w:ind w:left="578" w:hanging="361"/>
    </w:pPr>
  </w:style>
  <w:style w:type="paragraph" w:customStyle="1" w:styleId="TableParagraph">
    <w:name w:val="Table Paragraph"/>
    <w:basedOn w:val="Normln"/>
    <w:uiPriority w:val="1"/>
    <w:qFormat/>
    <w:pPr>
      <w:ind w:left="107"/>
    </w:pPr>
  </w:style>
  <w:style w:type="paragraph" w:styleId="Zhlav">
    <w:name w:val="header"/>
    <w:basedOn w:val="Normln"/>
    <w:link w:val="ZhlavChar"/>
    <w:uiPriority w:val="99"/>
    <w:unhideWhenUsed/>
    <w:rsid w:val="004C2FE8"/>
    <w:pPr>
      <w:tabs>
        <w:tab w:val="center" w:pos="4536"/>
        <w:tab w:val="right" w:pos="9072"/>
      </w:tabs>
    </w:pPr>
  </w:style>
  <w:style w:type="character" w:customStyle="1" w:styleId="ZhlavChar">
    <w:name w:val="Záhlaví Char"/>
    <w:basedOn w:val="Standardnpsmoodstavce"/>
    <w:link w:val="Zhlav"/>
    <w:uiPriority w:val="99"/>
    <w:rsid w:val="004C2FE8"/>
    <w:rPr>
      <w:rFonts w:ascii="Times New Roman" w:eastAsia="Times New Roman" w:hAnsi="Times New Roman" w:cs="Times New Roman"/>
      <w:lang w:eastAsia="sl-SI" w:bidi="sl-SI"/>
    </w:rPr>
  </w:style>
  <w:style w:type="paragraph" w:styleId="Zpat">
    <w:name w:val="footer"/>
    <w:basedOn w:val="Normln"/>
    <w:link w:val="ZpatChar"/>
    <w:uiPriority w:val="99"/>
    <w:unhideWhenUsed/>
    <w:rsid w:val="004C2FE8"/>
    <w:pPr>
      <w:tabs>
        <w:tab w:val="center" w:pos="4536"/>
        <w:tab w:val="right" w:pos="9072"/>
      </w:tabs>
    </w:pPr>
  </w:style>
  <w:style w:type="character" w:customStyle="1" w:styleId="ZpatChar">
    <w:name w:val="Zápatí Char"/>
    <w:basedOn w:val="Standardnpsmoodstavce"/>
    <w:link w:val="Zpat"/>
    <w:uiPriority w:val="99"/>
    <w:rsid w:val="004C2FE8"/>
    <w:rPr>
      <w:rFonts w:ascii="Times New Roman" w:eastAsia="Times New Roman" w:hAnsi="Times New Roman" w:cs="Times New Roman"/>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1039</Words>
  <Characters>6132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01</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HUGHES</dc:creator>
  <cp:lastModifiedBy>Martina Nejedlova</cp:lastModifiedBy>
  <cp:revision>3</cp:revision>
  <dcterms:created xsi:type="dcterms:W3CDTF">2024-04-23T07:30:00Z</dcterms:created>
  <dcterms:modified xsi:type="dcterms:W3CDTF">2024-04-23T07:58:00Z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2024-04-08T00:00:00Z</vt:filetime>
  </property>
</Properties>
</file>